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7F4A3" w14:textId="77777777" w:rsidR="00136332" w:rsidRPr="0043245C" w:rsidRDefault="003D32CE" w:rsidP="00B505AB">
      <w:pPr>
        <w:ind w:right="78"/>
        <w:rPr>
          <w:rFonts w:ascii="Arial" w:eastAsia="Arial" w:hAnsi="Arial" w:cs="Arial"/>
          <w:sz w:val="40"/>
          <w:szCs w:val="40"/>
        </w:rPr>
      </w:pPr>
      <w:bookmarkStart w:id="0" w:name="_GoBack"/>
      <w:bookmarkEnd w:id="0"/>
      <w:r w:rsidRPr="0043245C">
        <w:rPr>
          <w:rFonts w:ascii="Arial" w:eastAsia="Arial" w:hAnsi="Arial" w:cs="Arial"/>
          <w:sz w:val="40"/>
          <w:szCs w:val="40"/>
        </w:rPr>
        <w:t xml:space="preserve">CGIAR </w:t>
      </w:r>
      <w:r w:rsidR="00136332" w:rsidRPr="0043245C">
        <w:rPr>
          <w:rFonts w:ascii="Arial" w:eastAsia="Arial" w:hAnsi="Arial" w:cs="Arial"/>
          <w:sz w:val="40"/>
          <w:szCs w:val="40"/>
        </w:rPr>
        <w:t>Genebank Platform</w:t>
      </w:r>
    </w:p>
    <w:p w14:paraId="4750BCD3" w14:textId="77777777" w:rsidR="008904E7" w:rsidRPr="0043245C" w:rsidRDefault="003D32CE" w:rsidP="00B505AB">
      <w:pPr>
        <w:ind w:right="78"/>
        <w:rPr>
          <w:rFonts w:ascii="Arial" w:eastAsia="Arial" w:hAnsi="Arial" w:cs="Arial"/>
          <w:sz w:val="40"/>
          <w:szCs w:val="40"/>
        </w:rPr>
      </w:pPr>
      <w:r w:rsidRPr="0043245C">
        <w:rPr>
          <w:rFonts w:ascii="Arial" w:eastAsia="Arial" w:hAnsi="Arial" w:cs="Arial"/>
          <w:sz w:val="40"/>
          <w:szCs w:val="40"/>
        </w:rPr>
        <w:t xml:space="preserve">Outcome/ Impact Case Report Template </w:t>
      </w:r>
    </w:p>
    <w:p w14:paraId="7F68B98C" w14:textId="77777777" w:rsidR="00136332" w:rsidRPr="0043245C" w:rsidRDefault="00136332" w:rsidP="00B505AB">
      <w:pPr>
        <w:ind w:right="78"/>
        <w:rPr>
          <w:rFonts w:ascii="Arial" w:hAnsi="Arial" w:cs="Arial"/>
          <w:b/>
          <w:sz w:val="22"/>
          <w:szCs w:val="22"/>
        </w:rPr>
      </w:pPr>
    </w:p>
    <w:p w14:paraId="6FA33A53" w14:textId="77777777" w:rsidR="00136332" w:rsidRPr="009F4BA6" w:rsidRDefault="003D32CE" w:rsidP="00B505AB">
      <w:pPr>
        <w:ind w:right="78"/>
        <w:rPr>
          <w:rFonts w:ascii="Arial" w:eastAsia="Arial" w:hAnsi="Arial" w:cs="Arial"/>
          <w:b/>
          <w:bCs/>
          <w:color w:val="000000" w:themeColor="text1"/>
        </w:rPr>
      </w:pPr>
      <w:bookmarkStart w:id="1" w:name="_3znysh7" w:colFirst="0" w:colLast="0"/>
      <w:bookmarkEnd w:id="1"/>
      <w:r w:rsidRPr="009F4BA6">
        <w:rPr>
          <w:rFonts w:ascii="Arial" w:eastAsia="Arial" w:hAnsi="Arial" w:cs="Arial"/>
          <w:b/>
          <w:bCs/>
          <w:color w:val="000000" w:themeColor="text1"/>
        </w:rPr>
        <w:t xml:space="preserve">Reporting Year: </w:t>
      </w:r>
      <w:r w:rsidR="00136332" w:rsidRPr="009F4BA6">
        <w:rPr>
          <w:rFonts w:ascii="Arial" w:eastAsia="Arial" w:hAnsi="Arial" w:cs="Arial"/>
          <w:b/>
          <w:bCs/>
          <w:color w:val="000000" w:themeColor="text1"/>
        </w:rPr>
        <w:t xml:space="preserve">2018 </w:t>
      </w:r>
    </w:p>
    <w:p w14:paraId="640175C4" w14:textId="77777777" w:rsidR="008904E7" w:rsidRPr="009F4BA6" w:rsidRDefault="003D32CE" w:rsidP="00B505AB">
      <w:pPr>
        <w:ind w:right="78"/>
        <w:rPr>
          <w:rFonts w:ascii="Arial" w:eastAsia="Arial" w:hAnsi="Arial" w:cs="Arial"/>
          <w:b/>
          <w:bCs/>
          <w:color w:val="000000" w:themeColor="text1"/>
        </w:rPr>
      </w:pPr>
      <w:r w:rsidRPr="009F4BA6">
        <w:rPr>
          <w:rFonts w:ascii="Arial" w:eastAsia="Arial" w:hAnsi="Arial" w:cs="Arial"/>
          <w:b/>
          <w:bCs/>
          <w:color w:val="000000" w:themeColor="text1"/>
        </w:rPr>
        <w:t>New Outcome Impact Case</w:t>
      </w:r>
    </w:p>
    <w:p w14:paraId="270FC489" w14:textId="77777777" w:rsidR="00B505AB" w:rsidRPr="0043245C" w:rsidRDefault="003D32CE" w:rsidP="00B505AB">
      <w:pPr>
        <w:pStyle w:val="Subtitle"/>
        <w:ind w:right="78"/>
        <w:rPr>
          <w:rFonts w:ascii="Arial" w:hAnsi="Arial" w:cs="Arial"/>
          <w:color w:val="000000" w:themeColor="text1"/>
          <w:sz w:val="36"/>
          <w:szCs w:val="36"/>
        </w:rPr>
      </w:pPr>
      <w:bookmarkStart w:id="2" w:name="_k8yzrns4wxm4" w:colFirst="0" w:colLast="0"/>
      <w:bookmarkEnd w:id="2"/>
      <w:r w:rsidRPr="0043245C">
        <w:rPr>
          <w:rFonts w:ascii="Arial" w:hAnsi="Arial" w:cs="Arial"/>
          <w:color w:val="000000" w:themeColor="text1"/>
          <w:sz w:val="36"/>
          <w:szCs w:val="36"/>
        </w:rPr>
        <w:t>Part I:  Public communications</w:t>
      </w:r>
    </w:p>
    <w:p w14:paraId="22F37790" w14:textId="77777777" w:rsidR="008904E7" w:rsidRPr="0043245C" w:rsidRDefault="003D32CE" w:rsidP="0043245C">
      <w:pPr>
        <w:pStyle w:val="Subtitle"/>
        <w:numPr>
          <w:ilvl w:val="0"/>
          <w:numId w:val="8"/>
        </w:numPr>
        <w:ind w:right="78"/>
        <w:rPr>
          <w:rFonts w:ascii="Arial" w:hAnsi="Arial" w:cs="Arial"/>
          <w:color w:val="000000" w:themeColor="text1"/>
          <w:sz w:val="24"/>
          <w:szCs w:val="24"/>
        </w:rPr>
      </w:pPr>
      <w:r w:rsidRPr="0043245C">
        <w:rPr>
          <w:rFonts w:ascii="Arial" w:hAnsi="Arial" w:cs="Arial"/>
          <w:b/>
          <w:color w:val="000000" w:themeColor="text1"/>
          <w:sz w:val="24"/>
          <w:szCs w:val="24"/>
        </w:rPr>
        <w:t>Title</w:t>
      </w:r>
    </w:p>
    <w:p w14:paraId="713EA733" w14:textId="77777777" w:rsidR="00B505AB" w:rsidRPr="0043245C" w:rsidRDefault="00136332" w:rsidP="009F4BA6">
      <w:pPr>
        <w:ind w:right="78"/>
        <w:jc w:val="both"/>
        <w:rPr>
          <w:rFonts w:ascii="Arial" w:hAnsi="Arial" w:cs="Arial"/>
          <w:sz w:val="22"/>
          <w:szCs w:val="22"/>
        </w:rPr>
      </w:pPr>
      <w:r w:rsidRPr="0043245C">
        <w:rPr>
          <w:rFonts w:ascii="Arial" w:hAnsi="Arial" w:cs="Arial"/>
          <w:color w:val="000000"/>
          <w:sz w:val="22"/>
          <w:szCs w:val="22"/>
        </w:rPr>
        <w:t xml:space="preserve">Guidelines for CGIAR Research </w:t>
      </w:r>
      <w:proofErr w:type="spellStart"/>
      <w:r w:rsidRPr="0043245C">
        <w:rPr>
          <w:rFonts w:ascii="Arial" w:hAnsi="Arial" w:cs="Arial"/>
          <w:color w:val="000000"/>
          <w:sz w:val="22"/>
          <w:szCs w:val="22"/>
        </w:rPr>
        <w:t>Centers</w:t>
      </w:r>
      <w:proofErr w:type="spellEnd"/>
      <w:r w:rsidRPr="0043245C">
        <w:rPr>
          <w:rFonts w:ascii="Arial" w:hAnsi="Arial" w:cs="Arial"/>
          <w:color w:val="000000"/>
          <w:sz w:val="22"/>
          <w:szCs w:val="22"/>
        </w:rPr>
        <w:t xml:space="preserve"> on the Nagoya Protocol on Access to Genetic Resources and the Fair and Equitable Sharing of Benefits Arising from their Utilization to the Convention on Biological Diversity</w:t>
      </w:r>
    </w:p>
    <w:p w14:paraId="0BA15235" w14:textId="77777777" w:rsidR="00B505AB" w:rsidRPr="0043245C" w:rsidRDefault="00B505AB" w:rsidP="00B505AB">
      <w:pPr>
        <w:ind w:right="78"/>
        <w:rPr>
          <w:rFonts w:ascii="Arial" w:hAnsi="Arial" w:cs="Arial"/>
          <w:sz w:val="22"/>
          <w:szCs w:val="22"/>
        </w:rPr>
      </w:pPr>
    </w:p>
    <w:p w14:paraId="69F1DC16" w14:textId="4A0A901E" w:rsidR="00136332" w:rsidRPr="00353B9A" w:rsidRDefault="003D32CE" w:rsidP="00B505AB">
      <w:pPr>
        <w:pStyle w:val="ListParagraph"/>
        <w:numPr>
          <w:ilvl w:val="0"/>
          <w:numId w:val="8"/>
        </w:numPr>
        <w:ind w:right="78"/>
        <w:rPr>
          <w:rFonts w:ascii="Arial" w:eastAsia="Times New Roman" w:hAnsi="Arial" w:cs="Arial"/>
          <w:i/>
          <w:iCs/>
          <w:color w:val="000000" w:themeColor="text1"/>
        </w:rPr>
      </w:pPr>
      <w:r w:rsidRPr="0043245C">
        <w:rPr>
          <w:rFonts w:ascii="Arial" w:eastAsia="Arial" w:hAnsi="Arial" w:cs="Arial"/>
          <w:b/>
          <w:i/>
          <w:iCs/>
          <w:color w:val="000000" w:themeColor="text1"/>
        </w:rPr>
        <w:t>Short outcome/impact statement</w:t>
      </w:r>
    </w:p>
    <w:p w14:paraId="3DB6668B" w14:textId="0F6F2F9E" w:rsidR="00B505AB" w:rsidRPr="00353B9A" w:rsidRDefault="00136332" w:rsidP="00353B9A">
      <w:pPr>
        <w:autoSpaceDE w:val="0"/>
        <w:autoSpaceDN w:val="0"/>
        <w:adjustRightInd w:val="0"/>
        <w:jc w:val="both"/>
        <w:rPr>
          <w:rFonts w:ascii="Arial" w:eastAsia="Cambria" w:hAnsi="Arial" w:cs="Arial"/>
          <w:color w:val="231F20"/>
          <w:sz w:val="22"/>
          <w:szCs w:val="22"/>
          <w:lang w:val="en-US" w:eastAsia="en-GB"/>
        </w:rPr>
      </w:pPr>
      <w:r w:rsidRPr="0043245C">
        <w:rPr>
          <w:rFonts w:ascii="Arial" w:hAnsi="Arial" w:cs="Arial"/>
          <w:color w:val="000000"/>
          <w:sz w:val="22"/>
          <w:szCs w:val="22"/>
        </w:rPr>
        <w:t xml:space="preserve">The Policy Module of the Genebank Platform finalized the text of the </w:t>
      </w:r>
      <w:r w:rsidRPr="00353B9A">
        <w:rPr>
          <w:rFonts w:ascii="Arial" w:hAnsi="Arial" w:cs="Arial"/>
          <w:b/>
          <w:bCs/>
          <w:i/>
          <w:iCs/>
          <w:color w:val="000000"/>
          <w:sz w:val="22"/>
          <w:szCs w:val="22"/>
        </w:rPr>
        <w:t xml:space="preserve">Guidelines on the Nagoya Protocol for CGIAR Research </w:t>
      </w:r>
      <w:proofErr w:type="spellStart"/>
      <w:r w:rsidRPr="00353B9A">
        <w:rPr>
          <w:rFonts w:ascii="Arial" w:hAnsi="Arial" w:cs="Arial"/>
          <w:b/>
          <w:bCs/>
          <w:i/>
          <w:iCs/>
          <w:color w:val="000000"/>
          <w:sz w:val="22"/>
          <w:szCs w:val="22"/>
        </w:rPr>
        <w:t>Centers</w:t>
      </w:r>
      <w:proofErr w:type="spellEnd"/>
      <w:r w:rsidRPr="00353B9A">
        <w:rPr>
          <w:rFonts w:ascii="Arial" w:hAnsi="Arial" w:cs="Arial"/>
          <w:color w:val="000000"/>
          <w:sz w:val="22"/>
          <w:szCs w:val="22"/>
        </w:rPr>
        <w:t xml:space="preserve">. The guidelines were </w:t>
      </w:r>
      <w:r w:rsidR="00353B9A">
        <w:rPr>
          <w:rFonts w:ascii="Arial" w:eastAsia="Cambria" w:hAnsi="Arial" w:cs="Arial"/>
          <w:color w:val="231F20"/>
          <w:sz w:val="22"/>
          <w:szCs w:val="22"/>
          <w:lang w:val="en-US" w:eastAsia="en-GB"/>
        </w:rPr>
        <w:t>a</w:t>
      </w:r>
      <w:r w:rsidR="00353B9A" w:rsidRPr="00353B9A">
        <w:rPr>
          <w:rFonts w:ascii="Arial" w:eastAsia="Cambria" w:hAnsi="Arial" w:cs="Arial"/>
          <w:color w:val="231F20"/>
          <w:sz w:val="22"/>
          <w:szCs w:val="22"/>
          <w:lang w:val="en-US" w:eastAsia="en-GB"/>
        </w:rPr>
        <w:t>pproved by the Directors General of CGIAR's Article 15 Centers with effect from 26 February</w:t>
      </w:r>
      <w:r w:rsidR="00353B9A">
        <w:rPr>
          <w:rFonts w:ascii="Arial" w:eastAsia="Cambria" w:hAnsi="Arial" w:cs="Arial"/>
          <w:color w:val="231F20"/>
          <w:sz w:val="22"/>
          <w:szCs w:val="22"/>
          <w:lang w:val="en-US" w:eastAsia="en-GB"/>
        </w:rPr>
        <w:t xml:space="preserve"> </w:t>
      </w:r>
      <w:r w:rsidR="00353B9A" w:rsidRPr="00353B9A">
        <w:rPr>
          <w:rFonts w:ascii="Arial" w:eastAsia="Cambria" w:hAnsi="Arial" w:cs="Arial"/>
          <w:color w:val="231F20"/>
          <w:sz w:val="22"/>
          <w:szCs w:val="22"/>
          <w:lang w:val="en-US" w:eastAsia="en-GB"/>
        </w:rPr>
        <w:t>2018 and by the CGIAR System Management Board with effect from June 2018.</w:t>
      </w:r>
    </w:p>
    <w:p w14:paraId="79DC0C39" w14:textId="77777777" w:rsidR="00353B9A" w:rsidRPr="00353B9A" w:rsidRDefault="00353B9A" w:rsidP="00353B9A">
      <w:pPr>
        <w:ind w:right="78"/>
        <w:jc w:val="both"/>
        <w:rPr>
          <w:rFonts w:ascii="Arial" w:eastAsia="Arial" w:hAnsi="Arial" w:cs="Arial"/>
          <w:color w:val="000000"/>
          <w:sz w:val="22"/>
          <w:szCs w:val="22"/>
        </w:rPr>
      </w:pPr>
    </w:p>
    <w:p w14:paraId="2D2F869B" w14:textId="3D8BFE9B" w:rsidR="00136332" w:rsidRPr="00353B9A" w:rsidRDefault="003D32CE" w:rsidP="00B505AB">
      <w:pPr>
        <w:pStyle w:val="ListParagraph"/>
        <w:numPr>
          <w:ilvl w:val="0"/>
          <w:numId w:val="8"/>
        </w:numPr>
        <w:ind w:right="78"/>
        <w:rPr>
          <w:rFonts w:ascii="Arial" w:eastAsia="Arial" w:hAnsi="Arial" w:cs="Arial"/>
          <w:i/>
          <w:iCs/>
          <w:color w:val="000000" w:themeColor="text1"/>
        </w:rPr>
      </w:pPr>
      <w:r w:rsidRPr="0043245C">
        <w:rPr>
          <w:rFonts w:ascii="Arial" w:eastAsia="Arial" w:hAnsi="Arial" w:cs="Arial"/>
          <w:b/>
          <w:i/>
          <w:iCs/>
          <w:color w:val="000000" w:themeColor="text1"/>
        </w:rPr>
        <w:t>Outcome story for communications use</w:t>
      </w:r>
    </w:p>
    <w:p w14:paraId="134BB736" w14:textId="639A9FF8" w:rsidR="00136332" w:rsidRPr="0043245C" w:rsidRDefault="00136332" w:rsidP="009F4BA6">
      <w:pPr>
        <w:ind w:right="78"/>
        <w:jc w:val="both"/>
        <w:rPr>
          <w:rFonts w:ascii="Arial" w:eastAsia="Arial" w:hAnsi="Arial" w:cs="Arial"/>
          <w:color w:val="FF0000"/>
          <w:sz w:val="22"/>
          <w:szCs w:val="22"/>
        </w:rPr>
      </w:pPr>
      <w:r w:rsidRPr="0043245C">
        <w:rPr>
          <w:rFonts w:ascii="Arial" w:hAnsi="Arial" w:cs="Arial"/>
          <w:sz w:val="22"/>
          <w:szCs w:val="22"/>
          <w:lang w:val="en-US"/>
        </w:rPr>
        <w:t xml:space="preserve">The movement of plant genetic materials between countries is governed by an alphabet soup of treaties and agreements like ITPGRFA, CBD and SMTA. Some agreements are truly a mouthful like the </w:t>
      </w:r>
      <w:r w:rsidRPr="0043245C">
        <w:rPr>
          <w:rFonts w:ascii="Arial" w:hAnsi="Arial" w:cs="Arial"/>
          <w:i/>
          <w:sz w:val="22"/>
          <w:szCs w:val="22"/>
          <w:lang w:val="en-US"/>
        </w:rPr>
        <w:t>Nagoya Protocol on Access to Genetic Resources and the Fair and Equitable Sharing of Benefits Arising from their Utilization to the Convention on Biological Diversity</w:t>
      </w:r>
      <w:r w:rsidRPr="0043245C">
        <w:rPr>
          <w:rFonts w:ascii="Arial" w:hAnsi="Arial" w:cs="Arial"/>
          <w:sz w:val="22"/>
          <w:szCs w:val="22"/>
          <w:lang w:val="en-US"/>
        </w:rPr>
        <w:t xml:space="preserve"> or simply the </w:t>
      </w:r>
      <w:r w:rsidRPr="0043245C">
        <w:rPr>
          <w:rFonts w:ascii="Arial" w:hAnsi="Arial" w:cs="Arial"/>
          <w:i/>
          <w:sz w:val="22"/>
          <w:szCs w:val="22"/>
          <w:lang w:val="en-US"/>
        </w:rPr>
        <w:t>Nagoya Protocol</w:t>
      </w:r>
      <w:r w:rsidRPr="0043245C">
        <w:rPr>
          <w:rFonts w:ascii="Arial" w:hAnsi="Arial" w:cs="Arial"/>
          <w:sz w:val="22"/>
          <w:szCs w:val="22"/>
          <w:lang w:val="en-US"/>
        </w:rPr>
        <w:t xml:space="preserve"> … and equally confusing. </w:t>
      </w:r>
    </w:p>
    <w:p w14:paraId="5AC0505B" w14:textId="77777777" w:rsidR="00136332" w:rsidRPr="0043245C" w:rsidRDefault="00136332" w:rsidP="009F4BA6">
      <w:pPr>
        <w:ind w:right="78"/>
        <w:jc w:val="both"/>
        <w:rPr>
          <w:rFonts w:ascii="Arial" w:hAnsi="Arial" w:cs="Arial"/>
          <w:sz w:val="22"/>
          <w:szCs w:val="22"/>
          <w:lang w:val="en-US"/>
        </w:rPr>
      </w:pPr>
    </w:p>
    <w:p w14:paraId="1ED7A6AD" w14:textId="77777777" w:rsidR="00136332" w:rsidRPr="0043245C" w:rsidRDefault="00136332" w:rsidP="009F4BA6">
      <w:pPr>
        <w:ind w:right="78"/>
        <w:jc w:val="both"/>
        <w:rPr>
          <w:rFonts w:ascii="Arial" w:eastAsia="Arial" w:hAnsi="Arial" w:cs="Arial"/>
          <w:color w:val="FF0000"/>
          <w:sz w:val="22"/>
          <w:szCs w:val="22"/>
        </w:rPr>
      </w:pPr>
      <w:r w:rsidRPr="0043245C">
        <w:rPr>
          <w:rFonts w:ascii="Arial" w:hAnsi="Arial" w:cs="Arial"/>
          <w:sz w:val="22"/>
          <w:szCs w:val="22"/>
          <w:lang w:val="en-US"/>
        </w:rPr>
        <w:t>The Nagoya Protocol came into force in October 2014 and seeks to ensure the fair and equitable sharing of benefits arising out of the use of genetic resources. The Protocol puts operable systems in place to regulate access to genetic resources and associated traditional knowledge, and to monitor and enforce compliance by users with access and benefit-sharing legislation in provider countries.</w:t>
      </w:r>
    </w:p>
    <w:p w14:paraId="5221F8BD" w14:textId="77777777" w:rsidR="00136332" w:rsidRPr="0043245C" w:rsidRDefault="00136332" w:rsidP="009F4BA6">
      <w:pPr>
        <w:ind w:right="78"/>
        <w:jc w:val="both"/>
        <w:rPr>
          <w:rFonts w:ascii="Arial" w:eastAsia="Arial" w:hAnsi="Arial" w:cs="Arial"/>
          <w:color w:val="FF0000"/>
          <w:sz w:val="22"/>
          <w:szCs w:val="22"/>
        </w:rPr>
      </w:pPr>
    </w:p>
    <w:p w14:paraId="7C5045D8" w14:textId="77777777" w:rsidR="00136332" w:rsidRPr="0043245C" w:rsidRDefault="00136332" w:rsidP="009F4BA6">
      <w:pPr>
        <w:ind w:right="78"/>
        <w:jc w:val="both"/>
        <w:rPr>
          <w:rFonts w:ascii="Arial" w:eastAsia="Arial" w:hAnsi="Arial" w:cs="Arial"/>
          <w:color w:val="FF0000"/>
          <w:sz w:val="22"/>
          <w:szCs w:val="22"/>
        </w:rPr>
      </w:pPr>
      <w:r w:rsidRPr="0043245C">
        <w:rPr>
          <w:rFonts w:ascii="Arial" w:hAnsi="Arial" w:cs="Arial"/>
          <w:sz w:val="22"/>
          <w:szCs w:val="22"/>
          <w:lang w:val="en-US"/>
        </w:rPr>
        <w:t>Most of the CGIAR Research Centers’ activities related to plant genetic resources are governed by the International Treaty on Plant Genetic Resources for Food and Agriculture (ITPGRFA) and not by the Nagoya Protocol. However, there are situations where CGIAR Centers need to comply with regional, national and sub-national mechanisms that implement the Nagoya Protocol. For example, at times a CGIAR Center might need to access plant genetic resources that are not available through the ITPGRFA’s multilateral system. As more countries ratify and implement the Nagoya Protocol, an increasing proportion of the genetic resources that CGIAR Centers want to collect and use could be affected by laws developed under the Protocol.</w:t>
      </w:r>
    </w:p>
    <w:p w14:paraId="2E9471D8" w14:textId="77777777" w:rsidR="00136332" w:rsidRPr="0043245C" w:rsidRDefault="00136332" w:rsidP="009F4BA6">
      <w:pPr>
        <w:ind w:right="78"/>
        <w:jc w:val="both"/>
        <w:rPr>
          <w:rFonts w:ascii="Arial" w:eastAsia="Arial" w:hAnsi="Arial" w:cs="Arial"/>
          <w:color w:val="FF0000"/>
          <w:sz w:val="22"/>
          <w:szCs w:val="22"/>
        </w:rPr>
      </w:pPr>
    </w:p>
    <w:p w14:paraId="45473B87" w14:textId="2C1EA2BF" w:rsidR="008904E7" w:rsidRPr="0043245C" w:rsidRDefault="00136332" w:rsidP="009F4BA6">
      <w:pPr>
        <w:ind w:right="78"/>
        <w:jc w:val="both"/>
        <w:rPr>
          <w:rFonts w:ascii="Arial" w:eastAsia="Arial" w:hAnsi="Arial" w:cs="Arial"/>
          <w:color w:val="FF0000"/>
          <w:sz w:val="22"/>
          <w:szCs w:val="22"/>
        </w:rPr>
      </w:pPr>
      <w:r w:rsidRPr="0043245C">
        <w:rPr>
          <w:rFonts w:ascii="Arial" w:hAnsi="Arial" w:cs="Arial"/>
          <w:sz w:val="22"/>
          <w:szCs w:val="22"/>
          <w:lang w:val="en-US"/>
        </w:rPr>
        <w:t xml:space="preserve">The </w:t>
      </w:r>
      <w:r w:rsidRPr="0043245C">
        <w:rPr>
          <w:rFonts w:ascii="Arial" w:hAnsi="Arial" w:cs="Arial"/>
          <w:b/>
          <w:i/>
          <w:sz w:val="22"/>
          <w:szCs w:val="22"/>
          <w:lang w:val="en-US"/>
        </w:rPr>
        <w:t>Guidelines on the Nagoya Protocol for CGIAR Research Centers</w:t>
      </w:r>
      <w:r w:rsidRPr="0043245C">
        <w:rPr>
          <w:rFonts w:ascii="Arial" w:hAnsi="Arial" w:cs="Arial"/>
          <w:sz w:val="22"/>
          <w:szCs w:val="22"/>
          <w:lang w:val="en-US"/>
        </w:rPr>
        <w:t xml:space="preserve"> are meant to help CGIAR Centers understand which areas of their plant genetic resources-related activities could be affected by the Nagoya Protocol. It outlines their options in terms of compliance with the legal obligations. The guidelines address situations where countries have national laws in place implementing the Nagoya Protocol as well as situations where the countries concerned have ratified or acceded to the Nagoya Protocol but do not yet have national laws and systems in place to implement it.</w:t>
      </w:r>
    </w:p>
    <w:p w14:paraId="58C37485" w14:textId="77777777" w:rsidR="008904E7" w:rsidRPr="0043245C" w:rsidRDefault="003D32CE" w:rsidP="00B505AB">
      <w:pPr>
        <w:pStyle w:val="Subtitle"/>
        <w:ind w:right="78"/>
        <w:rPr>
          <w:rFonts w:ascii="Arial" w:hAnsi="Arial" w:cs="Arial"/>
          <w:color w:val="000000" w:themeColor="text1"/>
          <w:sz w:val="36"/>
          <w:szCs w:val="36"/>
        </w:rPr>
      </w:pPr>
      <w:bookmarkStart w:id="3" w:name="_ajgq9g8054q" w:colFirst="0" w:colLast="0"/>
      <w:bookmarkEnd w:id="3"/>
      <w:r w:rsidRPr="0043245C">
        <w:rPr>
          <w:rFonts w:ascii="Arial" w:hAnsi="Arial" w:cs="Arial"/>
          <w:color w:val="000000" w:themeColor="text1"/>
          <w:sz w:val="36"/>
          <w:szCs w:val="36"/>
        </w:rPr>
        <w:lastRenderedPageBreak/>
        <w:t>Part II:  CGIAR system level reporting</w:t>
      </w:r>
    </w:p>
    <w:p w14:paraId="5D5A0149" w14:textId="77777777" w:rsidR="008904E7" w:rsidRPr="0043245C" w:rsidRDefault="008904E7" w:rsidP="00B505AB">
      <w:pPr>
        <w:ind w:right="78"/>
        <w:rPr>
          <w:rFonts w:ascii="Arial" w:hAnsi="Arial" w:cs="Arial"/>
          <w:sz w:val="22"/>
          <w:szCs w:val="22"/>
        </w:rPr>
      </w:pPr>
    </w:p>
    <w:p w14:paraId="78312572" w14:textId="26B61E8C" w:rsidR="008904E7" w:rsidRPr="009F4BA6" w:rsidRDefault="003D32CE" w:rsidP="00B505AB">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Link to Common Results Reporting Indicator on Policy Contribution</w:t>
      </w:r>
    </w:p>
    <w:p w14:paraId="2AEF7190" w14:textId="1A9B40B5" w:rsidR="00396270" w:rsidRPr="00353B9A" w:rsidRDefault="003D32CE" w:rsidP="00353B9A">
      <w:pPr>
        <w:ind w:right="78"/>
        <w:rPr>
          <w:rFonts w:ascii="Arial" w:eastAsia="Arial" w:hAnsi="Arial" w:cs="Arial"/>
          <w:b/>
          <w:color w:val="A6A6A6" w:themeColor="background1" w:themeShade="A6"/>
          <w:sz w:val="20"/>
          <w:szCs w:val="20"/>
        </w:rPr>
      </w:pPr>
      <w:r w:rsidRPr="00353B9A">
        <w:rPr>
          <w:rFonts w:ascii="Arial" w:eastAsia="Arial" w:hAnsi="Arial" w:cs="Arial"/>
          <w:color w:val="A6A6A6" w:themeColor="background1" w:themeShade="A6"/>
          <w:sz w:val="20"/>
          <w:szCs w:val="20"/>
        </w:rPr>
        <w:t>Does this outcome reflect a contribution of the CGIAR in influencing or modifying policies?</w:t>
      </w:r>
      <w:r w:rsidRPr="00353B9A">
        <w:rPr>
          <w:rFonts w:ascii="Arial" w:eastAsia="Arial" w:hAnsi="Arial" w:cs="Arial"/>
          <w:b/>
          <w:color w:val="A6A6A6" w:themeColor="background1" w:themeShade="A6"/>
          <w:sz w:val="20"/>
          <w:szCs w:val="20"/>
        </w:rPr>
        <w:t xml:space="preserve"> </w:t>
      </w:r>
    </w:p>
    <w:p w14:paraId="08A0A848" w14:textId="77777777" w:rsidR="002A639F" w:rsidRPr="00353B9A" w:rsidRDefault="003D32CE" w:rsidP="00353B9A">
      <w:pPr>
        <w:ind w:right="78"/>
        <w:rPr>
          <w:rFonts w:ascii="Arial" w:eastAsia="Arial" w:hAnsi="Arial" w:cs="Arial"/>
          <w:b/>
          <w:color w:val="000000"/>
          <w:sz w:val="22"/>
          <w:szCs w:val="22"/>
        </w:rPr>
      </w:pPr>
      <w:r w:rsidRPr="00353B9A">
        <w:rPr>
          <w:rFonts w:ascii="Arial" w:eastAsia="Arial" w:hAnsi="Arial" w:cs="Arial"/>
          <w:b/>
          <w:color w:val="000000"/>
          <w:sz w:val="22"/>
          <w:szCs w:val="22"/>
        </w:rPr>
        <w:t>YES</w:t>
      </w:r>
      <w:r w:rsidR="00396270" w:rsidRPr="00353B9A">
        <w:rPr>
          <w:rFonts w:ascii="Arial" w:eastAsia="Arial" w:hAnsi="Arial" w:cs="Arial"/>
          <w:b/>
          <w:color w:val="000000"/>
          <w:sz w:val="22"/>
          <w:szCs w:val="22"/>
        </w:rPr>
        <w:t xml:space="preserve"> </w:t>
      </w:r>
    </w:p>
    <w:p w14:paraId="3EE46965" w14:textId="13679A8C" w:rsidR="008904E7" w:rsidRPr="00353B9A" w:rsidRDefault="00396270" w:rsidP="00353B9A">
      <w:pPr>
        <w:ind w:right="78"/>
        <w:rPr>
          <w:rFonts w:ascii="Arial" w:eastAsia="Arial" w:hAnsi="Arial" w:cs="Arial"/>
          <w:b/>
          <w:color w:val="A6A6A6" w:themeColor="background1" w:themeShade="A6"/>
          <w:sz w:val="20"/>
          <w:szCs w:val="20"/>
        </w:rPr>
      </w:pPr>
      <w:r w:rsidRPr="00353B9A">
        <w:rPr>
          <w:rFonts w:ascii="Arial" w:eastAsia="Arial" w:hAnsi="Arial" w:cs="Arial"/>
          <w:color w:val="A6A6A6" w:themeColor="background1" w:themeShade="A6"/>
          <w:sz w:val="20"/>
          <w:szCs w:val="20"/>
        </w:rPr>
        <w:t>[</w:t>
      </w:r>
      <w:r w:rsidR="003D32CE" w:rsidRPr="00353B9A">
        <w:rPr>
          <w:rFonts w:ascii="Arial" w:eastAsia="Arial" w:hAnsi="Arial" w:cs="Arial"/>
          <w:color w:val="A6A6A6" w:themeColor="background1" w:themeShade="A6"/>
          <w:sz w:val="20"/>
          <w:szCs w:val="20"/>
        </w:rPr>
        <w:t xml:space="preserve">If </w:t>
      </w:r>
      <w:r w:rsidR="003D32CE" w:rsidRPr="00353B9A">
        <w:rPr>
          <w:rFonts w:ascii="Arial" w:eastAsia="Arial" w:hAnsi="Arial" w:cs="Arial"/>
          <w:b/>
          <w:color w:val="A6A6A6" w:themeColor="background1" w:themeShade="A6"/>
          <w:sz w:val="20"/>
          <w:szCs w:val="20"/>
        </w:rPr>
        <w:t>YES,</w:t>
      </w:r>
      <w:r w:rsidR="003D32CE" w:rsidRPr="00353B9A">
        <w:rPr>
          <w:rFonts w:ascii="Arial" w:eastAsia="Arial" w:hAnsi="Arial" w:cs="Arial"/>
          <w:color w:val="A6A6A6" w:themeColor="background1" w:themeShade="A6"/>
          <w:sz w:val="20"/>
          <w:szCs w:val="20"/>
        </w:rPr>
        <w:t xml:space="preserve"> insert link to MIS loop on disaggregates for I3 here</w:t>
      </w:r>
      <w:r w:rsidRPr="00353B9A">
        <w:rPr>
          <w:rFonts w:ascii="Arial" w:eastAsia="Arial" w:hAnsi="Arial" w:cs="Arial"/>
          <w:color w:val="A6A6A6" w:themeColor="background1" w:themeShade="A6"/>
          <w:sz w:val="20"/>
          <w:szCs w:val="2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384"/>
        <w:gridCol w:w="5626"/>
      </w:tblGrid>
      <w:tr w:rsidR="009B1DE0" w:rsidRPr="0043245C" w14:paraId="63E22829" w14:textId="77777777" w:rsidTr="002A639F">
        <w:tc>
          <w:tcPr>
            <w:tcW w:w="1878" w:type="pct"/>
          </w:tcPr>
          <w:p w14:paraId="740E0168" w14:textId="77777777" w:rsidR="009B1DE0" w:rsidRPr="0043245C" w:rsidRDefault="009B1DE0" w:rsidP="00516C55">
            <w:pPr>
              <w:ind w:left="28"/>
              <w:contextualSpacing/>
              <w:rPr>
                <w:rFonts w:ascii="Arial" w:hAnsi="Arial" w:cs="Arial"/>
                <w:sz w:val="22"/>
                <w:szCs w:val="22"/>
              </w:rPr>
            </w:pPr>
            <w:r w:rsidRPr="0043245C">
              <w:rPr>
                <w:rFonts w:ascii="Arial" w:hAnsi="Arial" w:cs="Arial"/>
                <w:sz w:val="22"/>
                <w:szCs w:val="22"/>
              </w:rPr>
              <w:t>Names of contributing Platform</w:t>
            </w:r>
            <w:r w:rsidRPr="0043245C">
              <w:rPr>
                <w:rFonts w:ascii="Arial" w:hAnsi="Arial" w:cs="Arial"/>
                <w:b/>
                <w:sz w:val="22"/>
                <w:szCs w:val="22"/>
              </w:rPr>
              <w:t xml:space="preserve"> </w:t>
            </w:r>
          </w:p>
        </w:tc>
        <w:tc>
          <w:tcPr>
            <w:tcW w:w="3122" w:type="pct"/>
          </w:tcPr>
          <w:p w14:paraId="5858DB4E" w14:textId="77777777" w:rsidR="009B1DE0" w:rsidRPr="0043245C" w:rsidRDefault="009B1DE0" w:rsidP="00516C55">
            <w:pPr>
              <w:contextualSpacing/>
              <w:rPr>
                <w:rFonts w:ascii="Arial" w:hAnsi="Arial" w:cs="Arial"/>
                <w:sz w:val="22"/>
                <w:szCs w:val="22"/>
              </w:rPr>
            </w:pPr>
            <w:r w:rsidRPr="0043245C">
              <w:rPr>
                <w:rFonts w:ascii="Arial" w:hAnsi="Arial" w:cs="Arial"/>
                <w:sz w:val="22"/>
                <w:szCs w:val="22"/>
              </w:rPr>
              <w:t>Genebank Platform- Policy Module</w:t>
            </w:r>
          </w:p>
        </w:tc>
      </w:tr>
      <w:tr w:rsidR="00396270" w:rsidRPr="0043245C" w14:paraId="5CF88A1B" w14:textId="77777777" w:rsidTr="002A639F">
        <w:tc>
          <w:tcPr>
            <w:tcW w:w="1878" w:type="pct"/>
          </w:tcPr>
          <w:p w14:paraId="762B8B27" w14:textId="77777777" w:rsidR="009B1DE0" w:rsidRPr="0043245C" w:rsidRDefault="009B1DE0" w:rsidP="00516C55">
            <w:pPr>
              <w:ind w:left="28"/>
              <w:contextualSpacing/>
              <w:rPr>
                <w:rFonts w:ascii="Arial" w:hAnsi="Arial" w:cs="Arial"/>
                <w:color w:val="000000" w:themeColor="text1"/>
                <w:sz w:val="22"/>
                <w:szCs w:val="22"/>
              </w:rPr>
            </w:pPr>
            <w:r w:rsidRPr="0043245C">
              <w:rPr>
                <w:rFonts w:ascii="Arial" w:hAnsi="Arial" w:cs="Arial"/>
                <w:color w:val="000000" w:themeColor="text1"/>
                <w:sz w:val="22"/>
                <w:szCs w:val="22"/>
              </w:rPr>
              <w:t>CGIAR sub-IDO</w:t>
            </w:r>
          </w:p>
        </w:tc>
        <w:tc>
          <w:tcPr>
            <w:tcW w:w="3122" w:type="pct"/>
          </w:tcPr>
          <w:p w14:paraId="7F864456" w14:textId="77777777" w:rsidR="009B1DE0" w:rsidRPr="0043245C" w:rsidRDefault="009B1DE0" w:rsidP="00516C55">
            <w:pPr>
              <w:autoSpaceDE w:val="0"/>
              <w:autoSpaceDN w:val="0"/>
              <w:adjustRightInd w:val="0"/>
              <w:rPr>
                <w:rFonts w:ascii="Arial" w:hAnsi="Arial" w:cs="Arial"/>
                <w:color w:val="000000" w:themeColor="text1"/>
                <w:sz w:val="22"/>
                <w:szCs w:val="22"/>
              </w:rPr>
            </w:pPr>
            <w:r w:rsidRPr="0043245C">
              <w:rPr>
                <w:rFonts w:ascii="Arial" w:hAnsi="Arial" w:cs="Arial"/>
                <w:color w:val="000000" w:themeColor="text1"/>
                <w:sz w:val="22"/>
                <w:szCs w:val="22"/>
              </w:rPr>
              <w:t>Increased conservation and use of genetic resources</w:t>
            </w:r>
          </w:p>
        </w:tc>
      </w:tr>
      <w:tr w:rsidR="009B1DE0" w:rsidRPr="0043245C" w14:paraId="2B85E6A0" w14:textId="77777777" w:rsidTr="002A639F">
        <w:tc>
          <w:tcPr>
            <w:tcW w:w="1878" w:type="pct"/>
          </w:tcPr>
          <w:p w14:paraId="45D7192E" w14:textId="77777777" w:rsidR="009B1DE0" w:rsidRPr="0043245C" w:rsidRDefault="009B1DE0" w:rsidP="00516C55">
            <w:pPr>
              <w:ind w:left="28"/>
              <w:contextualSpacing/>
              <w:rPr>
                <w:rFonts w:ascii="Arial" w:hAnsi="Arial" w:cs="Arial"/>
                <w:sz w:val="22"/>
                <w:szCs w:val="22"/>
              </w:rPr>
            </w:pPr>
            <w:r w:rsidRPr="0043245C">
              <w:rPr>
                <w:rFonts w:ascii="Arial" w:hAnsi="Arial" w:cs="Arial"/>
                <w:sz w:val="22"/>
                <w:szCs w:val="22"/>
              </w:rPr>
              <w:t>Crosscutting markers</w:t>
            </w:r>
          </w:p>
        </w:tc>
        <w:tc>
          <w:tcPr>
            <w:tcW w:w="3122" w:type="pct"/>
          </w:tcPr>
          <w:p w14:paraId="67EDDEB6" w14:textId="77777777" w:rsidR="009B1DE0" w:rsidRPr="0043245C" w:rsidRDefault="009B1DE0" w:rsidP="00516C55">
            <w:pPr>
              <w:contextualSpacing/>
              <w:rPr>
                <w:rFonts w:ascii="Arial" w:hAnsi="Arial" w:cs="Arial"/>
                <w:sz w:val="22"/>
                <w:szCs w:val="22"/>
              </w:rPr>
            </w:pPr>
            <w:proofErr w:type="spellStart"/>
            <w:r w:rsidRPr="0043245C">
              <w:rPr>
                <w:rFonts w:ascii="Arial" w:hAnsi="Arial" w:cs="Arial"/>
                <w:sz w:val="22"/>
                <w:szCs w:val="22"/>
              </w:rPr>
              <w:t>CapDev</w:t>
            </w:r>
            <w:proofErr w:type="spellEnd"/>
            <w:r w:rsidR="00BE68B5" w:rsidRPr="0043245C">
              <w:rPr>
                <w:rFonts w:ascii="Arial" w:hAnsi="Arial" w:cs="Arial"/>
                <w:sz w:val="22"/>
                <w:szCs w:val="22"/>
              </w:rPr>
              <w:t>: 1=</w:t>
            </w:r>
            <w:r w:rsidRPr="0043245C">
              <w:rPr>
                <w:rFonts w:ascii="Arial" w:hAnsi="Arial" w:cs="Arial"/>
                <w:sz w:val="22"/>
                <w:szCs w:val="22"/>
              </w:rPr>
              <w:t>significant objective</w:t>
            </w:r>
          </w:p>
        </w:tc>
      </w:tr>
      <w:tr w:rsidR="009B1DE0" w:rsidRPr="0043245C" w14:paraId="755919CA" w14:textId="77777777" w:rsidTr="002A639F">
        <w:tc>
          <w:tcPr>
            <w:tcW w:w="1878" w:type="pct"/>
          </w:tcPr>
          <w:p w14:paraId="4AED614A" w14:textId="77777777" w:rsidR="009B1DE0" w:rsidRPr="0043245C" w:rsidRDefault="009B1DE0" w:rsidP="00516C55">
            <w:pPr>
              <w:ind w:left="28"/>
              <w:contextualSpacing/>
              <w:rPr>
                <w:rFonts w:ascii="Arial" w:hAnsi="Arial" w:cs="Arial"/>
                <w:sz w:val="22"/>
                <w:szCs w:val="22"/>
              </w:rPr>
            </w:pPr>
            <w:r w:rsidRPr="0043245C">
              <w:rPr>
                <w:rFonts w:ascii="Arial" w:hAnsi="Arial" w:cs="Arial"/>
                <w:sz w:val="22"/>
                <w:szCs w:val="22"/>
              </w:rPr>
              <w:t>Policy/Investment Type</w:t>
            </w:r>
          </w:p>
        </w:tc>
        <w:tc>
          <w:tcPr>
            <w:tcW w:w="3122" w:type="pct"/>
          </w:tcPr>
          <w:p w14:paraId="0FBA3392" w14:textId="77777777" w:rsidR="009B1DE0" w:rsidRPr="0043245C" w:rsidRDefault="009B1DE0" w:rsidP="00516C55">
            <w:pPr>
              <w:contextualSpacing/>
              <w:rPr>
                <w:rFonts w:ascii="Arial" w:hAnsi="Arial" w:cs="Arial"/>
                <w:sz w:val="22"/>
                <w:szCs w:val="22"/>
              </w:rPr>
            </w:pPr>
            <w:r w:rsidRPr="0043245C">
              <w:rPr>
                <w:rFonts w:ascii="Arial" w:hAnsi="Arial" w:cs="Arial"/>
                <w:sz w:val="22"/>
                <w:szCs w:val="22"/>
              </w:rPr>
              <w:t>Policy</w:t>
            </w:r>
          </w:p>
        </w:tc>
      </w:tr>
      <w:tr w:rsidR="009B1DE0" w:rsidRPr="0043245C" w14:paraId="505D9076" w14:textId="77777777" w:rsidTr="002A639F">
        <w:tc>
          <w:tcPr>
            <w:tcW w:w="1878" w:type="pct"/>
          </w:tcPr>
          <w:p w14:paraId="763F4B99" w14:textId="77777777" w:rsidR="009B1DE0" w:rsidRPr="0043245C" w:rsidRDefault="009B1DE0" w:rsidP="00516C55">
            <w:pPr>
              <w:ind w:left="28"/>
              <w:contextualSpacing/>
              <w:rPr>
                <w:rFonts w:ascii="Arial" w:hAnsi="Arial" w:cs="Arial"/>
                <w:sz w:val="22"/>
                <w:szCs w:val="22"/>
              </w:rPr>
            </w:pPr>
            <w:r w:rsidRPr="0043245C">
              <w:rPr>
                <w:rFonts w:ascii="Arial" w:hAnsi="Arial" w:cs="Arial"/>
                <w:sz w:val="22"/>
                <w:szCs w:val="22"/>
              </w:rPr>
              <w:t>Whose policy is this?</w:t>
            </w:r>
          </w:p>
        </w:tc>
        <w:tc>
          <w:tcPr>
            <w:tcW w:w="3122" w:type="pct"/>
          </w:tcPr>
          <w:p w14:paraId="7544181A" w14:textId="77777777" w:rsidR="009B1DE0" w:rsidRPr="0043245C" w:rsidRDefault="00BE68B5" w:rsidP="00516C55">
            <w:pPr>
              <w:contextualSpacing/>
              <w:rPr>
                <w:rFonts w:ascii="Arial" w:hAnsi="Arial" w:cs="Arial"/>
                <w:sz w:val="22"/>
                <w:szCs w:val="22"/>
              </w:rPr>
            </w:pPr>
            <w:r w:rsidRPr="0043245C">
              <w:rPr>
                <w:rFonts w:ascii="Arial" w:hAnsi="Arial" w:cs="Arial"/>
                <w:sz w:val="22"/>
                <w:szCs w:val="22"/>
              </w:rPr>
              <w:t>Other: CGIAR</w:t>
            </w:r>
          </w:p>
        </w:tc>
      </w:tr>
      <w:tr w:rsidR="009B1DE0" w:rsidRPr="0043245C" w14:paraId="6CCC460B" w14:textId="77777777" w:rsidTr="002A639F">
        <w:tc>
          <w:tcPr>
            <w:tcW w:w="1878" w:type="pct"/>
          </w:tcPr>
          <w:p w14:paraId="307BD1D0" w14:textId="77777777" w:rsidR="009B1DE0" w:rsidRPr="0043245C" w:rsidRDefault="009B1DE0" w:rsidP="00516C55">
            <w:pPr>
              <w:ind w:left="28"/>
              <w:contextualSpacing/>
              <w:rPr>
                <w:rFonts w:ascii="Arial" w:hAnsi="Arial" w:cs="Arial"/>
                <w:sz w:val="22"/>
                <w:szCs w:val="22"/>
              </w:rPr>
            </w:pPr>
            <w:r w:rsidRPr="0043245C">
              <w:rPr>
                <w:rFonts w:ascii="Arial" w:hAnsi="Arial" w:cs="Arial"/>
                <w:sz w:val="22"/>
                <w:szCs w:val="22"/>
              </w:rPr>
              <w:t>Geographic Scope</w:t>
            </w:r>
          </w:p>
        </w:tc>
        <w:tc>
          <w:tcPr>
            <w:tcW w:w="3122" w:type="pct"/>
          </w:tcPr>
          <w:p w14:paraId="192CF554" w14:textId="77777777" w:rsidR="009B1DE0" w:rsidRPr="0043245C" w:rsidRDefault="009B1DE0" w:rsidP="00516C55">
            <w:pPr>
              <w:contextualSpacing/>
              <w:rPr>
                <w:rFonts w:ascii="Arial" w:hAnsi="Arial" w:cs="Arial"/>
                <w:sz w:val="22"/>
                <w:szCs w:val="22"/>
              </w:rPr>
            </w:pPr>
            <w:r w:rsidRPr="0043245C">
              <w:rPr>
                <w:rFonts w:ascii="Arial" w:hAnsi="Arial" w:cs="Arial"/>
                <w:sz w:val="22"/>
                <w:szCs w:val="22"/>
              </w:rPr>
              <w:t>Global</w:t>
            </w:r>
          </w:p>
        </w:tc>
      </w:tr>
      <w:tr w:rsidR="009B1DE0" w:rsidRPr="0043245C" w14:paraId="6E6E7540" w14:textId="77777777" w:rsidTr="002A639F">
        <w:tc>
          <w:tcPr>
            <w:tcW w:w="1878" w:type="pct"/>
          </w:tcPr>
          <w:p w14:paraId="73A80C7A" w14:textId="77777777" w:rsidR="009B1DE0" w:rsidRPr="0043245C" w:rsidRDefault="009B1DE0" w:rsidP="00516C55">
            <w:pPr>
              <w:ind w:left="28"/>
              <w:contextualSpacing/>
              <w:rPr>
                <w:rFonts w:ascii="Arial" w:hAnsi="Arial" w:cs="Arial"/>
                <w:sz w:val="22"/>
                <w:szCs w:val="22"/>
              </w:rPr>
            </w:pPr>
            <w:r w:rsidRPr="0043245C">
              <w:rPr>
                <w:rFonts w:ascii="Arial" w:hAnsi="Arial" w:cs="Arial"/>
                <w:sz w:val="22"/>
                <w:szCs w:val="22"/>
              </w:rPr>
              <w:t>Level of maturity</w:t>
            </w:r>
          </w:p>
        </w:tc>
        <w:tc>
          <w:tcPr>
            <w:tcW w:w="3122" w:type="pct"/>
          </w:tcPr>
          <w:p w14:paraId="10F3A786" w14:textId="77777777" w:rsidR="009B1DE0" w:rsidRPr="0043245C" w:rsidRDefault="00396270" w:rsidP="00516C55">
            <w:pPr>
              <w:autoSpaceDE w:val="0"/>
              <w:autoSpaceDN w:val="0"/>
              <w:adjustRightInd w:val="0"/>
              <w:rPr>
                <w:rFonts w:ascii="Arial" w:hAnsi="Arial" w:cs="Arial"/>
                <w:sz w:val="22"/>
                <w:szCs w:val="22"/>
              </w:rPr>
            </w:pPr>
            <w:r w:rsidRPr="0043245C">
              <w:rPr>
                <w:rFonts w:ascii="Arial" w:hAnsi="Arial" w:cs="Arial"/>
                <w:sz w:val="22"/>
                <w:szCs w:val="22"/>
              </w:rPr>
              <w:t>2</w:t>
            </w:r>
            <w:r w:rsidR="009B1DE0" w:rsidRPr="0043245C">
              <w:rPr>
                <w:rFonts w:ascii="Arial" w:hAnsi="Arial" w:cs="Arial"/>
                <w:sz w:val="22"/>
                <w:szCs w:val="22"/>
              </w:rPr>
              <w:t>=</w:t>
            </w:r>
            <w:r w:rsidRPr="0043245C">
              <w:rPr>
                <w:rFonts w:ascii="Arial" w:hAnsi="Arial" w:cs="Arial"/>
                <w:sz w:val="22"/>
                <w:szCs w:val="22"/>
              </w:rPr>
              <w:t>Policy enacted</w:t>
            </w:r>
          </w:p>
        </w:tc>
      </w:tr>
    </w:tbl>
    <w:p w14:paraId="79F1A608" w14:textId="77777777" w:rsidR="0043245C" w:rsidRDefault="0043245C" w:rsidP="0043245C">
      <w:pPr>
        <w:pStyle w:val="ListParagraph"/>
        <w:ind w:left="0" w:right="78"/>
        <w:rPr>
          <w:rFonts w:ascii="Arial" w:eastAsia="Arial" w:hAnsi="Arial" w:cs="Arial"/>
          <w:b/>
          <w:i/>
          <w:iCs/>
          <w:color w:val="000000" w:themeColor="text1"/>
        </w:rPr>
      </w:pPr>
    </w:p>
    <w:p w14:paraId="1E951396" w14:textId="6BDC0786" w:rsidR="008904E7" w:rsidRPr="0043245C" w:rsidRDefault="003D32CE" w:rsidP="0043245C">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Maturity of change reported</w:t>
      </w:r>
    </w:p>
    <w:p w14:paraId="581D145E" w14:textId="49A328F8" w:rsidR="0000645A" w:rsidRPr="00353B9A" w:rsidRDefault="0000645A" w:rsidP="00353B9A">
      <w:pPr>
        <w:autoSpaceDE w:val="0"/>
        <w:autoSpaceDN w:val="0"/>
        <w:adjustRightInd w:val="0"/>
        <w:jc w:val="both"/>
        <w:rPr>
          <w:rFonts w:ascii="Arial" w:eastAsia="Cambria" w:hAnsi="Arial" w:cs="Arial"/>
          <w:color w:val="231F20"/>
          <w:sz w:val="22"/>
          <w:szCs w:val="22"/>
          <w:lang w:val="en-US"/>
        </w:rPr>
      </w:pPr>
      <w:r w:rsidRPr="00353B9A">
        <w:rPr>
          <w:rFonts w:ascii="Arial" w:eastAsia="Arial" w:hAnsi="Arial" w:cs="Arial"/>
          <w:bCs/>
          <w:color w:val="000000"/>
          <w:sz w:val="22"/>
          <w:szCs w:val="22"/>
        </w:rPr>
        <w:t xml:space="preserve">Stage 2: </w:t>
      </w:r>
      <w:r w:rsidR="002A639F" w:rsidRPr="00353B9A">
        <w:rPr>
          <w:rFonts w:ascii="Arial" w:hAnsi="Arial" w:cs="Arial"/>
          <w:bCs/>
          <w:sz w:val="22"/>
          <w:szCs w:val="22"/>
          <w:lang w:val="en-US"/>
        </w:rPr>
        <w:t xml:space="preserve">Guidelines were </w:t>
      </w:r>
      <w:r w:rsidR="002A639F" w:rsidRPr="00353B9A">
        <w:rPr>
          <w:rFonts w:ascii="Arial" w:eastAsia="Cambria" w:hAnsi="Arial" w:cs="Arial"/>
          <w:color w:val="231F20"/>
          <w:sz w:val="22"/>
          <w:szCs w:val="22"/>
          <w:lang w:val="en-US"/>
        </w:rPr>
        <w:t>approved by the Directors General of CGIAR's Article 15 Centers with effect from 26 February 2018. Approved by the CGIAR System Management Board with effect from June 2018.</w:t>
      </w:r>
    </w:p>
    <w:p w14:paraId="6EA340CC" w14:textId="77777777" w:rsidR="0000645A" w:rsidRPr="0043245C" w:rsidRDefault="0000645A" w:rsidP="0000645A">
      <w:pPr>
        <w:ind w:right="78"/>
        <w:contextualSpacing/>
        <w:rPr>
          <w:rFonts w:ascii="Arial" w:hAnsi="Arial" w:cs="Arial"/>
          <w:bCs/>
          <w:sz w:val="22"/>
          <w:szCs w:val="22"/>
          <w:lang w:val="en-GB"/>
        </w:rPr>
      </w:pPr>
    </w:p>
    <w:p w14:paraId="07F9CC79" w14:textId="24611379" w:rsidR="008904E7" w:rsidRPr="0043245C" w:rsidRDefault="003D32CE" w:rsidP="0043245C">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Links to the Strategy and Results Framework</w:t>
      </w:r>
    </w:p>
    <w:p w14:paraId="3C1B0F23" w14:textId="7DA60C2A" w:rsidR="008904E7" w:rsidRPr="00353B9A" w:rsidRDefault="003D32CE" w:rsidP="00353B9A">
      <w:pPr>
        <w:ind w:right="79"/>
        <w:rPr>
          <w:rFonts w:ascii="Arial" w:eastAsia="Arial" w:hAnsi="Arial" w:cs="Arial"/>
          <w:color w:val="000000" w:themeColor="text1"/>
          <w:sz w:val="22"/>
          <w:szCs w:val="22"/>
        </w:rPr>
      </w:pPr>
      <w:r w:rsidRPr="00353B9A">
        <w:rPr>
          <w:rFonts w:ascii="Arial" w:eastAsia="Arial" w:hAnsi="Arial" w:cs="Arial"/>
          <w:color w:val="000000" w:themeColor="text1"/>
          <w:sz w:val="22"/>
          <w:szCs w:val="22"/>
        </w:rPr>
        <w:t xml:space="preserve">Sub-IDO - </w:t>
      </w:r>
      <w:r w:rsidR="0000645A" w:rsidRPr="00353B9A">
        <w:rPr>
          <w:rFonts w:ascii="Arial" w:hAnsi="Arial" w:cs="Arial"/>
          <w:color w:val="000000" w:themeColor="text1"/>
          <w:sz w:val="22"/>
          <w:szCs w:val="22"/>
        </w:rPr>
        <w:t>Increased conservation and use of genetic resources</w:t>
      </w:r>
    </w:p>
    <w:p w14:paraId="6FEEDDBB" w14:textId="1971017F" w:rsidR="008904E7" w:rsidRPr="00353B9A" w:rsidRDefault="0000645A" w:rsidP="00353B9A">
      <w:pPr>
        <w:spacing w:after="80"/>
        <w:ind w:right="79"/>
        <w:jc w:val="both"/>
        <w:rPr>
          <w:rFonts w:ascii="Arial" w:hAnsi="Arial" w:cs="Arial"/>
          <w:color w:val="000000" w:themeColor="text1"/>
          <w:sz w:val="22"/>
          <w:szCs w:val="22"/>
        </w:rPr>
      </w:pPr>
      <w:r w:rsidRPr="00353B9A">
        <w:rPr>
          <w:rFonts w:ascii="Arial" w:hAnsi="Arial" w:cs="Arial"/>
          <w:color w:val="000000" w:themeColor="text1"/>
          <w:sz w:val="22"/>
          <w:szCs w:val="22"/>
        </w:rPr>
        <w:t xml:space="preserve">By the end of 2018, CGIAR </w:t>
      </w:r>
      <w:proofErr w:type="spellStart"/>
      <w:r w:rsidRPr="00353B9A">
        <w:rPr>
          <w:rFonts w:ascii="Arial" w:hAnsi="Arial" w:cs="Arial"/>
          <w:color w:val="000000" w:themeColor="text1"/>
          <w:sz w:val="22"/>
          <w:szCs w:val="22"/>
        </w:rPr>
        <w:t>genebanks</w:t>
      </w:r>
      <w:proofErr w:type="spellEnd"/>
      <w:r w:rsidRPr="00353B9A">
        <w:rPr>
          <w:rFonts w:ascii="Arial" w:hAnsi="Arial" w:cs="Arial"/>
          <w:color w:val="000000" w:themeColor="text1"/>
          <w:sz w:val="22"/>
          <w:szCs w:val="22"/>
        </w:rPr>
        <w:t xml:space="preserve"> were managing 773,112 accessions, including 25,576 </w:t>
      </w:r>
      <w:r w:rsidRPr="002B2673">
        <w:rPr>
          <w:rFonts w:ascii="Arial" w:hAnsi="Arial" w:cs="Arial"/>
          <w:i/>
          <w:iCs/>
          <w:color w:val="000000" w:themeColor="text1"/>
          <w:sz w:val="22"/>
          <w:szCs w:val="22"/>
        </w:rPr>
        <w:t>in vitro</w:t>
      </w:r>
      <w:r w:rsidRPr="00353B9A">
        <w:rPr>
          <w:rFonts w:ascii="Arial" w:hAnsi="Arial" w:cs="Arial"/>
          <w:color w:val="000000" w:themeColor="text1"/>
          <w:sz w:val="22"/>
          <w:szCs w:val="22"/>
        </w:rPr>
        <w:t xml:space="preserve"> accessions and 32,212 accessions held as plants or trees in screenhouses or fields.</w:t>
      </w:r>
    </w:p>
    <w:p w14:paraId="1F531F6F" w14:textId="77777777" w:rsidR="002A639F" w:rsidRPr="0043245C" w:rsidRDefault="002A639F" w:rsidP="0000645A">
      <w:pPr>
        <w:spacing w:after="80"/>
        <w:ind w:right="79"/>
        <w:rPr>
          <w:rFonts w:ascii="Arial" w:eastAsia="Arial" w:hAnsi="Arial" w:cs="Arial"/>
          <w:color w:val="000000" w:themeColor="text1"/>
          <w:sz w:val="22"/>
          <w:szCs w:val="22"/>
        </w:rPr>
      </w:pPr>
    </w:p>
    <w:p w14:paraId="39BD48EB" w14:textId="64146FE1" w:rsidR="008904E7" w:rsidRPr="0043245C" w:rsidRDefault="003D32CE" w:rsidP="0043245C">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Geographic scope</w:t>
      </w:r>
    </w:p>
    <w:p w14:paraId="2DA32E1F" w14:textId="30381C7A" w:rsidR="008904E7" w:rsidRPr="00353B9A" w:rsidRDefault="00F91C67" w:rsidP="00353B9A">
      <w:pPr>
        <w:ind w:right="78"/>
        <w:rPr>
          <w:rFonts w:ascii="Arial" w:eastAsia="Arial" w:hAnsi="Arial" w:cs="Arial"/>
          <w:color w:val="000000"/>
          <w:sz w:val="22"/>
          <w:szCs w:val="22"/>
        </w:rPr>
      </w:pPr>
      <w:r w:rsidRPr="00353B9A">
        <w:rPr>
          <w:rFonts w:ascii="Arial" w:eastAsia="Arial" w:hAnsi="Arial" w:cs="Arial"/>
          <w:sz w:val="22"/>
          <w:szCs w:val="22"/>
        </w:rPr>
        <w:t>Global</w:t>
      </w:r>
    </w:p>
    <w:p w14:paraId="682D316D" w14:textId="47098AC3" w:rsidR="008904E7" w:rsidRPr="00353B9A" w:rsidRDefault="002A639F" w:rsidP="00353B9A">
      <w:pPr>
        <w:ind w:right="78"/>
        <w:rPr>
          <w:rFonts w:ascii="Arial" w:eastAsia="Arial" w:hAnsi="Arial" w:cs="Arial"/>
          <w:color w:val="000000"/>
          <w:sz w:val="22"/>
          <w:szCs w:val="22"/>
        </w:rPr>
      </w:pPr>
      <w:r w:rsidRPr="00353B9A">
        <w:rPr>
          <w:rFonts w:ascii="Arial" w:eastAsia="Arial" w:hAnsi="Arial" w:cs="Arial"/>
          <w:color w:val="000000"/>
          <w:sz w:val="22"/>
          <w:szCs w:val="22"/>
        </w:rPr>
        <w:t xml:space="preserve">Guidance </w:t>
      </w:r>
      <w:r w:rsidR="00F91C67" w:rsidRPr="00353B9A">
        <w:rPr>
          <w:rFonts w:ascii="Arial" w:eastAsia="Arial" w:hAnsi="Arial" w:cs="Arial"/>
          <w:color w:val="000000"/>
          <w:sz w:val="22"/>
          <w:szCs w:val="22"/>
        </w:rPr>
        <w:t xml:space="preserve">to all CGIAR </w:t>
      </w:r>
      <w:proofErr w:type="spellStart"/>
      <w:r w:rsidR="00F91C67" w:rsidRPr="00353B9A">
        <w:rPr>
          <w:rFonts w:ascii="Arial" w:eastAsia="Arial" w:hAnsi="Arial" w:cs="Arial"/>
          <w:color w:val="000000"/>
          <w:sz w:val="22"/>
          <w:szCs w:val="22"/>
        </w:rPr>
        <w:t>Centers</w:t>
      </w:r>
      <w:proofErr w:type="spellEnd"/>
      <w:r w:rsidR="00F91C67" w:rsidRPr="00353B9A">
        <w:rPr>
          <w:rFonts w:ascii="Arial" w:eastAsia="Arial" w:hAnsi="Arial" w:cs="Arial"/>
          <w:color w:val="000000"/>
          <w:sz w:val="22"/>
          <w:szCs w:val="22"/>
        </w:rPr>
        <w:t xml:space="preserve"> in the global movement of genetic resources</w:t>
      </w:r>
    </w:p>
    <w:p w14:paraId="644E5789" w14:textId="77777777" w:rsidR="002A639F" w:rsidRPr="0043245C" w:rsidRDefault="002A639F" w:rsidP="00B505AB">
      <w:pPr>
        <w:ind w:right="78"/>
        <w:rPr>
          <w:rFonts w:ascii="Arial" w:hAnsi="Arial" w:cs="Arial"/>
          <w:sz w:val="22"/>
          <w:szCs w:val="22"/>
        </w:rPr>
      </w:pPr>
    </w:p>
    <w:p w14:paraId="28CE1E75" w14:textId="293C5D41" w:rsidR="008904E7" w:rsidRPr="0043245C" w:rsidRDefault="003D32CE" w:rsidP="0043245C">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Key Contributors</w:t>
      </w:r>
    </w:p>
    <w:p w14:paraId="6943B7F5" w14:textId="77733B80" w:rsidR="00F91C67" w:rsidRPr="00353B9A" w:rsidRDefault="00F91C67" w:rsidP="002B2673">
      <w:pPr>
        <w:ind w:right="78"/>
        <w:rPr>
          <w:rFonts w:ascii="Arial" w:hAnsi="Arial" w:cs="Arial"/>
          <w:color w:val="000000" w:themeColor="text1"/>
          <w:sz w:val="22"/>
          <w:szCs w:val="22"/>
        </w:rPr>
      </w:pPr>
      <w:r w:rsidRPr="00353B9A">
        <w:rPr>
          <w:rFonts w:ascii="Arial" w:eastAsia="Arial" w:hAnsi="Arial" w:cs="Arial"/>
          <w:color w:val="000000" w:themeColor="text1"/>
          <w:sz w:val="22"/>
          <w:szCs w:val="22"/>
        </w:rPr>
        <w:t>Genebank</w:t>
      </w:r>
      <w:r w:rsidR="009F4BA6" w:rsidRPr="00353B9A">
        <w:rPr>
          <w:rFonts w:ascii="Arial" w:eastAsia="Arial" w:hAnsi="Arial" w:cs="Arial"/>
          <w:color w:val="000000" w:themeColor="text1"/>
          <w:sz w:val="22"/>
          <w:szCs w:val="22"/>
        </w:rPr>
        <w:t xml:space="preserve"> Platform</w:t>
      </w:r>
      <w:r w:rsidR="00353B9A">
        <w:rPr>
          <w:rFonts w:ascii="Arial" w:hAnsi="Arial" w:cs="Arial"/>
          <w:color w:val="000000" w:themeColor="text1"/>
          <w:sz w:val="22"/>
          <w:szCs w:val="22"/>
        </w:rPr>
        <w:t xml:space="preserve"> </w:t>
      </w:r>
      <w:r w:rsidRPr="00353B9A">
        <w:rPr>
          <w:rFonts w:ascii="Arial" w:eastAsia="Arial" w:hAnsi="Arial" w:cs="Arial"/>
          <w:color w:val="000000" w:themeColor="text1"/>
          <w:sz w:val="22"/>
          <w:szCs w:val="22"/>
        </w:rPr>
        <w:t>Policy</w:t>
      </w:r>
      <w:r w:rsidR="009F4BA6" w:rsidRPr="00353B9A">
        <w:rPr>
          <w:rFonts w:ascii="Arial" w:eastAsia="Arial" w:hAnsi="Arial" w:cs="Arial"/>
          <w:color w:val="000000" w:themeColor="text1"/>
          <w:sz w:val="22"/>
          <w:szCs w:val="22"/>
        </w:rPr>
        <w:t xml:space="preserve"> Module</w:t>
      </w:r>
      <w:r w:rsidR="00195C26">
        <w:rPr>
          <w:rFonts w:ascii="Arial" w:eastAsia="Arial" w:hAnsi="Arial" w:cs="Arial"/>
          <w:color w:val="000000" w:themeColor="text1"/>
          <w:sz w:val="22"/>
          <w:szCs w:val="22"/>
        </w:rPr>
        <w:t xml:space="preserve">, </w:t>
      </w:r>
      <w:r w:rsidR="00195C26">
        <w:rPr>
          <w:rFonts w:ascii="Arial" w:hAnsi="Arial" w:cs="Arial"/>
          <w:color w:val="000000" w:themeColor="text1"/>
          <w:sz w:val="22"/>
          <w:szCs w:val="22"/>
        </w:rPr>
        <w:t xml:space="preserve">Secretariats of the </w:t>
      </w:r>
      <w:r w:rsidRPr="00353B9A">
        <w:rPr>
          <w:rFonts w:ascii="Arial" w:hAnsi="Arial" w:cs="Arial"/>
          <w:color w:val="000000" w:themeColor="text1"/>
          <w:sz w:val="22"/>
          <w:szCs w:val="22"/>
        </w:rPr>
        <w:t>Convention on Biological Diversity</w:t>
      </w:r>
      <w:r w:rsidR="00195C26">
        <w:rPr>
          <w:rFonts w:ascii="Arial" w:hAnsi="Arial" w:cs="Arial"/>
          <w:color w:val="000000" w:themeColor="text1"/>
          <w:sz w:val="22"/>
          <w:szCs w:val="22"/>
        </w:rPr>
        <w:t>/Nagoya Protocol</w:t>
      </w:r>
      <w:r w:rsidRPr="00353B9A">
        <w:rPr>
          <w:rFonts w:ascii="Arial" w:hAnsi="Arial" w:cs="Arial"/>
          <w:color w:val="000000" w:themeColor="text1"/>
          <w:sz w:val="22"/>
          <w:szCs w:val="22"/>
        </w:rPr>
        <w:t xml:space="preserve"> (CBD</w:t>
      </w:r>
      <w:r w:rsidR="00195C26">
        <w:rPr>
          <w:rFonts w:ascii="Arial" w:hAnsi="Arial" w:cs="Arial"/>
          <w:color w:val="000000" w:themeColor="text1"/>
          <w:sz w:val="22"/>
          <w:szCs w:val="22"/>
        </w:rPr>
        <w:t>/NP</w:t>
      </w:r>
      <w:r w:rsidRPr="00353B9A">
        <w:rPr>
          <w:rFonts w:ascii="Arial" w:hAnsi="Arial" w:cs="Arial"/>
          <w:color w:val="000000" w:themeColor="text1"/>
          <w:sz w:val="22"/>
          <w:szCs w:val="22"/>
        </w:rPr>
        <w:t>)</w:t>
      </w:r>
      <w:r w:rsidR="00195C26">
        <w:rPr>
          <w:rFonts w:ascii="Arial" w:hAnsi="Arial" w:cs="Arial"/>
          <w:color w:val="000000" w:themeColor="text1"/>
          <w:sz w:val="22"/>
          <w:szCs w:val="22"/>
        </w:rPr>
        <w:t xml:space="preserve"> and International Treaty on Plant Genetic Resources for Food and Agriculture (ITPGRFA), CGIAR Genebank Managers, consultants (Gerald Moore, Brendan Tobin), ABS Capacity Development Initiative</w:t>
      </w:r>
      <w:r w:rsidRPr="00353B9A">
        <w:rPr>
          <w:rFonts w:ascii="Arial" w:hAnsi="Arial" w:cs="Arial"/>
          <w:color w:val="000000" w:themeColor="text1"/>
          <w:sz w:val="22"/>
          <w:szCs w:val="22"/>
        </w:rPr>
        <w:t xml:space="preserve"> </w:t>
      </w:r>
    </w:p>
    <w:p w14:paraId="3910E5D8" w14:textId="2CD570C1" w:rsidR="008904E7" w:rsidRPr="0043245C" w:rsidRDefault="008904E7" w:rsidP="00353B9A">
      <w:pPr>
        <w:ind w:right="78"/>
        <w:rPr>
          <w:rFonts w:ascii="Arial" w:hAnsi="Arial" w:cs="Arial"/>
          <w:sz w:val="22"/>
          <w:szCs w:val="22"/>
        </w:rPr>
      </w:pPr>
    </w:p>
    <w:p w14:paraId="584E67A8" w14:textId="49B66C3D" w:rsidR="008904E7" w:rsidRPr="0043245C" w:rsidRDefault="003D32CE" w:rsidP="0043245C">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CGIAR innovatio</w:t>
      </w:r>
      <w:r w:rsidR="009F4BA6">
        <w:rPr>
          <w:rFonts w:ascii="Arial" w:eastAsia="Arial" w:hAnsi="Arial" w:cs="Arial"/>
          <w:b/>
          <w:i/>
          <w:iCs/>
          <w:color w:val="000000" w:themeColor="text1"/>
        </w:rPr>
        <w:t xml:space="preserve">n </w:t>
      </w:r>
      <w:r w:rsidRPr="0043245C">
        <w:rPr>
          <w:rFonts w:ascii="Arial" w:eastAsia="Arial" w:hAnsi="Arial" w:cs="Arial"/>
          <w:b/>
          <w:i/>
          <w:iCs/>
          <w:color w:val="000000" w:themeColor="text1"/>
        </w:rPr>
        <w:t>that ha</w:t>
      </w:r>
      <w:r w:rsidR="009F4BA6">
        <w:rPr>
          <w:rFonts w:ascii="Arial" w:eastAsia="Arial" w:hAnsi="Arial" w:cs="Arial"/>
          <w:b/>
          <w:i/>
          <w:iCs/>
          <w:color w:val="000000" w:themeColor="text1"/>
        </w:rPr>
        <w:t>s</w:t>
      </w:r>
      <w:r w:rsidRPr="0043245C">
        <w:rPr>
          <w:rFonts w:ascii="Arial" w:eastAsia="Arial" w:hAnsi="Arial" w:cs="Arial"/>
          <w:b/>
          <w:i/>
          <w:iCs/>
          <w:color w:val="000000" w:themeColor="text1"/>
        </w:rPr>
        <w:t xml:space="preserve"> resulted in this outcome or impact.  </w:t>
      </w:r>
    </w:p>
    <w:p w14:paraId="52EB9037" w14:textId="5120D8AA" w:rsidR="008904E7" w:rsidRPr="00353B9A" w:rsidRDefault="008842CA" w:rsidP="00353B9A">
      <w:pPr>
        <w:ind w:right="78"/>
        <w:rPr>
          <w:rFonts w:ascii="Arial" w:eastAsia="Arial" w:hAnsi="Arial" w:cs="Arial"/>
          <w:color w:val="000000" w:themeColor="text1"/>
          <w:sz w:val="22"/>
          <w:szCs w:val="22"/>
          <w:highlight w:val="white"/>
        </w:rPr>
      </w:pPr>
      <w:r w:rsidRPr="00353B9A">
        <w:rPr>
          <w:rFonts w:ascii="Arial" w:eastAsia="Arial" w:hAnsi="Arial" w:cs="Arial"/>
          <w:color w:val="000000" w:themeColor="text1"/>
          <w:sz w:val="22"/>
          <w:szCs w:val="22"/>
          <w:highlight w:val="white"/>
        </w:rPr>
        <w:t>N/A</w:t>
      </w:r>
    </w:p>
    <w:p w14:paraId="575DA9AC" w14:textId="77777777" w:rsidR="008842CA" w:rsidRPr="0043245C" w:rsidRDefault="008842CA" w:rsidP="00B505AB">
      <w:pPr>
        <w:ind w:right="78"/>
        <w:rPr>
          <w:rFonts w:ascii="Arial" w:eastAsia="Arial" w:hAnsi="Arial" w:cs="Arial"/>
          <w:b/>
          <w:color w:val="000000" w:themeColor="text1"/>
          <w:sz w:val="22"/>
          <w:szCs w:val="22"/>
          <w:highlight w:val="white"/>
        </w:rPr>
      </w:pPr>
    </w:p>
    <w:p w14:paraId="4773A0B5" w14:textId="69A875DC" w:rsidR="00353B9A" w:rsidRPr="00353B9A" w:rsidRDefault="003D32CE" w:rsidP="008842CA">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Elaboration of Outcome/Impact Statement</w:t>
      </w:r>
    </w:p>
    <w:p w14:paraId="53312B57" w14:textId="09D18929" w:rsidR="008842CA" w:rsidRPr="0043245C" w:rsidRDefault="008842CA" w:rsidP="009F4BA6">
      <w:pPr>
        <w:jc w:val="both"/>
        <w:rPr>
          <w:rFonts w:ascii="Arial" w:hAnsi="Arial" w:cs="Arial"/>
          <w:sz w:val="22"/>
          <w:szCs w:val="22"/>
          <w:lang w:val="en-US"/>
        </w:rPr>
      </w:pPr>
      <w:r w:rsidRPr="0043245C">
        <w:rPr>
          <w:rFonts w:ascii="Arial" w:hAnsi="Arial" w:cs="Arial"/>
          <w:sz w:val="22"/>
          <w:szCs w:val="22"/>
          <w:lang w:val="en-US"/>
        </w:rPr>
        <w:t xml:space="preserve">The Nagoya Protocol seeks to ensure the fair and equitable sharing of benefits arising out of the use of genetic resources. The Protocol puts operable systems in place to regulate access to genetic resources and associated traditional knowledge, and to monitor and enforce compliance by users with access and benefit-sharing legislation in provider countries. The CGIAR Center </w:t>
      </w:r>
      <w:proofErr w:type="spellStart"/>
      <w:r w:rsidRPr="0043245C">
        <w:rPr>
          <w:rFonts w:ascii="Arial" w:hAnsi="Arial" w:cs="Arial"/>
          <w:sz w:val="22"/>
          <w:szCs w:val="22"/>
          <w:lang w:val="en-US"/>
        </w:rPr>
        <w:t>genebanks</w:t>
      </w:r>
      <w:proofErr w:type="spellEnd"/>
      <w:r w:rsidRPr="0043245C">
        <w:rPr>
          <w:rFonts w:ascii="Arial" w:hAnsi="Arial" w:cs="Arial"/>
          <w:sz w:val="22"/>
          <w:szCs w:val="22"/>
          <w:lang w:val="en-US"/>
        </w:rPr>
        <w:t xml:space="preserve"> have considerable experience working </w:t>
      </w:r>
      <w:r w:rsidR="003804FC">
        <w:rPr>
          <w:rFonts w:ascii="Arial" w:hAnsi="Arial" w:cs="Arial"/>
          <w:sz w:val="22"/>
          <w:szCs w:val="22"/>
          <w:lang w:val="en-US"/>
        </w:rPr>
        <w:t xml:space="preserve">under the framework of </w:t>
      </w:r>
      <w:r w:rsidR="002B2673">
        <w:rPr>
          <w:rFonts w:ascii="Arial" w:hAnsi="Arial" w:cs="Arial"/>
          <w:sz w:val="22"/>
          <w:szCs w:val="22"/>
          <w:lang w:val="en-US"/>
        </w:rPr>
        <w:t xml:space="preserve">the </w:t>
      </w:r>
      <w:r w:rsidR="002B2673" w:rsidRPr="0043245C">
        <w:rPr>
          <w:rFonts w:ascii="Arial" w:hAnsi="Arial" w:cs="Arial"/>
          <w:sz w:val="22"/>
          <w:szCs w:val="22"/>
          <w:lang w:val="en-US"/>
        </w:rPr>
        <w:t>International</w:t>
      </w:r>
      <w:r w:rsidRPr="0043245C">
        <w:rPr>
          <w:rFonts w:ascii="Arial" w:hAnsi="Arial" w:cs="Arial"/>
          <w:sz w:val="22"/>
          <w:szCs w:val="22"/>
          <w:lang w:val="en-US"/>
        </w:rPr>
        <w:t xml:space="preserve"> Treaty on Plant Genetic Resources for Food and Agriculture (ITPGRFA). There are times, however, when the movement of plant genetic materials between countries might require following access and benefit-sharing laws developed under the Nagoya Protocol</w:t>
      </w:r>
      <w:r w:rsidR="003804FC">
        <w:rPr>
          <w:rFonts w:ascii="Arial" w:hAnsi="Arial" w:cs="Arial"/>
          <w:sz w:val="22"/>
          <w:szCs w:val="22"/>
          <w:lang w:val="en-US"/>
        </w:rPr>
        <w:t>, for examples, when collecting new materials from on farm/in situ conditions</w:t>
      </w:r>
      <w:r w:rsidRPr="0043245C">
        <w:rPr>
          <w:rFonts w:ascii="Arial" w:hAnsi="Arial" w:cs="Arial"/>
          <w:sz w:val="22"/>
          <w:szCs w:val="22"/>
          <w:lang w:val="en-US"/>
        </w:rPr>
        <w:t>.</w:t>
      </w:r>
    </w:p>
    <w:p w14:paraId="094CD189" w14:textId="77777777" w:rsidR="008842CA" w:rsidRPr="0043245C" w:rsidRDefault="008842CA" w:rsidP="008842CA">
      <w:pPr>
        <w:rPr>
          <w:rFonts w:ascii="Arial" w:hAnsi="Arial" w:cs="Arial"/>
          <w:sz w:val="22"/>
          <w:szCs w:val="22"/>
          <w:lang w:val="en-US"/>
        </w:rPr>
      </w:pPr>
    </w:p>
    <w:p w14:paraId="5709503F" w14:textId="419459A1" w:rsidR="008842CA" w:rsidRDefault="008842CA" w:rsidP="008842CA">
      <w:pPr>
        <w:jc w:val="both"/>
        <w:rPr>
          <w:rFonts w:ascii="Arial" w:hAnsi="Arial" w:cs="Arial"/>
          <w:sz w:val="22"/>
          <w:szCs w:val="22"/>
          <w:lang w:val="en-US"/>
        </w:rPr>
      </w:pPr>
      <w:r w:rsidRPr="0043245C">
        <w:rPr>
          <w:rFonts w:ascii="Arial" w:hAnsi="Arial" w:cs="Arial"/>
          <w:sz w:val="22"/>
          <w:szCs w:val="22"/>
          <w:lang w:val="en-US"/>
        </w:rPr>
        <w:t xml:space="preserve">The Genebank Platform Policy Module prepared the </w:t>
      </w:r>
      <w:r w:rsidRPr="0043245C">
        <w:rPr>
          <w:rFonts w:ascii="Arial" w:hAnsi="Arial" w:cs="Arial"/>
          <w:i/>
          <w:sz w:val="22"/>
          <w:szCs w:val="22"/>
          <w:lang w:val="en-US"/>
        </w:rPr>
        <w:t xml:space="preserve">Guidelines on the Nagoya Protocol for CGIAR Research Centers </w:t>
      </w:r>
      <w:r w:rsidRPr="0043245C">
        <w:rPr>
          <w:rFonts w:ascii="Arial" w:hAnsi="Arial" w:cs="Arial"/>
          <w:sz w:val="22"/>
          <w:szCs w:val="22"/>
          <w:lang w:val="en-US"/>
        </w:rPr>
        <w:t>and submitted the document to the Director Generals of Article 15 Centers for review and adoption. After being approved by the DGs</w:t>
      </w:r>
      <w:r w:rsidR="00BF7DCE">
        <w:rPr>
          <w:rFonts w:ascii="Arial" w:hAnsi="Arial" w:cs="Arial"/>
          <w:sz w:val="22"/>
          <w:szCs w:val="22"/>
          <w:lang w:val="en-US"/>
        </w:rPr>
        <w:t>,</w:t>
      </w:r>
      <w:r w:rsidRPr="0043245C">
        <w:rPr>
          <w:rFonts w:ascii="Arial" w:hAnsi="Arial" w:cs="Arial"/>
          <w:sz w:val="22"/>
          <w:szCs w:val="22"/>
          <w:lang w:val="en-US"/>
        </w:rPr>
        <w:t xml:space="preserve"> they were adopted by the System Management Board </w:t>
      </w:r>
      <w:r w:rsidR="00BF7DCE" w:rsidRPr="00353B9A">
        <w:rPr>
          <w:rFonts w:ascii="Arial" w:eastAsia="Cambria" w:hAnsi="Arial" w:cs="Arial"/>
          <w:color w:val="231F20"/>
          <w:sz w:val="22"/>
          <w:szCs w:val="22"/>
          <w:lang w:val="en-US" w:eastAsia="en-GB"/>
        </w:rPr>
        <w:t>with effect from June 2018</w:t>
      </w:r>
      <w:r w:rsidRPr="0043245C">
        <w:rPr>
          <w:rFonts w:ascii="Arial" w:hAnsi="Arial" w:cs="Arial"/>
          <w:sz w:val="22"/>
          <w:szCs w:val="22"/>
          <w:lang w:val="en-US"/>
        </w:rPr>
        <w:t xml:space="preserve">. </w:t>
      </w:r>
    </w:p>
    <w:p w14:paraId="733F5FF5" w14:textId="77777777" w:rsidR="003804FC" w:rsidRPr="0043245C" w:rsidRDefault="003804FC" w:rsidP="008842CA">
      <w:pPr>
        <w:jc w:val="both"/>
        <w:rPr>
          <w:rFonts w:ascii="Arial" w:hAnsi="Arial" w:cs="Arial"/>
          <w:sz w:val="22"/>
          <w:szCs w:val="22"/>
          <w:lang w:val="en-US"/>
        </w:rPr>
      </w:pPr>
    </w:p>
    <w:p w14:paraId="7E51E3ED" w14:textId="27E00508" w:rsidR="008842CA" w:rsidRPr="0043245C" w:rsidRDefault="003804FC" w:rsidP="008842CA">
      <w:pPr>
        <w:jc w:val="both"/>
        <w:rPr>
          <w:rFonts w:ascii="Arial" w:hAnsi="Arial" w:cs="Arial"/>
          <w:sz w:val="22"/>
          <w:szCs w:val="22"/>
          <w:lang w:val="en-US"/>
        </w:rPr>
      </w:pPr>
      <w:r>
        <w:rPr>
          <w:rFonts w:ascii="Arial" w:hAnsi="Arial" w:cs="Arial"/>
          <w:sz w:val="22"/>
          <w:szCs w:val="22"/>
          <w:lang w:val="en-US"/>
        </w:rPr>
        <w:t xml:space="preserve">118 countries have already ratified the Nagoya Protocol, </w:t>
      </w:r>
      <w:r w:rsidR="002B2673">
        <w:rPr>
          <w:rFonts w:ascii="Arial" w:hAnsi="Arial" w:cs="Arial"/>
          <w:sz w:val="22"/>
          <w:szCs w:val="22"/>
          <w:lang w:val="en-US"/>
        </w:rPr>
        <w:t>i</w:t>
      </w:r>
      <w:r>
        <w:rPr>
          <w:rFonts w:ascii="Arial" w:hAnsi="Arial" w:cs="Arial"/>
          <w:sz w:val="22"/>
          <w:szCs w:val="22"/>
          <w:lang w:val="en-US"/>
        </w:rPr>
        <w:t>ncluding most of the countries that are hosting CGIAR Centers. M</w:t>
      </w:r>
      <w:r w:rsidRPr="003804FC">
        <w:rPr>
          <w:rFonts w:ascii="Arial" w:hAnsi="Arial" w:cs="Arial"/>
          <w:sz w:val="22"/>
          <w:szCs w:val="22"/>
          <w:lang w:val="en-US"/>
        </w:rPr>
        <w:t xml:space="preserve">ore </w:t>
      </w:r>
      <w:r>
        <w:rPr>
          <w:rFonts w:ascii="Arial" w:hAnsi="Arial" w:cs="Arial"/>
          <w:sz w:val="22"/>
          <w:szCs w:val="22"/>
          <w:lang w:val="en-US"/>
        </w:rPr>
        <w:t xml:space="preserve">countries are expected to ratify in the next </w:t>
      </w:r>
      <w:r w:rsidRPr="003804FC">
        <w:rPr>
          <w:rFonts w:ascii="Arial" w:hAnsi="Arial" w:cs="Arial"/>
          <w:sz w:val="22"/>
          <w:szCs w:val="22"/>
          <w:lang w:val="en-US"/>
        </w:rPr>
        <w:t>few years.</w:t>
      </w:r>
      <w:r w:rsidR="002B2673">
        <w:rPr>
          <w:rFonts w:ascii="Arial" w:hAnsi="Arial" w:cs="Arial"/>
          <w:sz w:val="22"/>
          <w:szCs w:val="22"/>
          <w:lang w:val="en-US"/>
        </w:rPr>
        <w:t xml:space="preserve"> </w:t>
      </w:r>
      <w:r>
        <w:rPr>
          <w:rFonts w:ascii="Arial" w:hAnsi="Arial" w:cs="Arial"/>
          <w:sz w:val="22"/>
          <w:szCs w:val="22"/>
          <w:lang w:val="en-US"/>
        </w:rPr>
        <w:t>T</w:t>
      </w:r>
      <w:r w:rsidR="008842CA" w:rsidRPr="0043245C">
        <w:rPr>
          <w:rFonts w:ascii="Arial" w:hAnsi="Arial" w:cs="Arial"/>
          <w:sz w:val="22"/>
          <w:szCs w:val="22"/>
          <w:lang w:val="en-US"/>
        </w:rPr>
        <w:t>hese guidelines will become increasingly</w:t>
      </w:r>
      <w:r w:rsidR="002B2673">
        <w:rPr>
          <w:rFonts w:ascii="Arial" w:hAnsi="Arial" w:cs="Arial"/>
          <w:sz w:val="22"/>
          <w:szCs w:val="22"/>
          <w:lang w:val="en-US"/>
        </w:rPr>
        <w:t xml:space="preserve"> </w:t>
      </w:r>
      <w:r w:rsidR="008842CA" w:rsidRPr="0043245C">
        <w:rPr>
          <w:rFonts w:ascii="Arial" w:hAnsi="Arial" w:cs="Arial"/>
          <w:sz w:val="22"/>
          <w:szCs w:val="22"/>
          <w:lang w:val="en-US"/>
        </w:rPr>
        <w:t xml:space="preserve">important as additional countries ratify the Nagoya Protocol </w:t>
      </w:r>
      <w:r>
        <w:rPr>
          <w:rFonts w:ascii="Arial" w:hAnsi="Arial" w:cs="Arial"/>
          <w:sz w:val="22"/>
          <w:szCs w:val="22"/>
          <w:lang w:val="en-US"/>
        </w:rPr>
        <w:t xml:space="preserve">and put systems in place to implement it at national and local levels. </w:t>
      </w:r>
      <w:r w:rsidR="008842CA" w:rsidRPr="0043245C">
        <w:rPr>
          <w:rFonts w:ascii="Arial" w:hAnsi="Arial" w:cs="Arial"/>
          <w:sz w:val="22"/>
          <w:szCs w:val="22"/>
          <w:lang w:val="en-US"/>
        </w:rPr>
        <w:t xml:space="preserve"> </w:t>
      </w:r>
    </w:p>
    <w:p w14:paraId="2BB973E9" w14:textId="77777777" w:rsidR="008842CA" w:rsidRPr="0043245C" w:rsidRDefault="008842CA" w:rsidP="008842CA">
      <w:pPr>
        <w:jc w:val="both"/>
        <w:rPr>
          <w:rFonts w:ascii="Arial" w:hAnsi="Arial" w:cs="Arial"/>
          <w:sz w:val="22"/>
          <w:szCs w:val="22"/>
          <w:lang w:val="en-US"/>
        </w:rPr>
      </w:pPr>
    </w:p>
    <w:p w14:paraId="26A208CA" w14:textId="4948AA5E" w:rsidR="008842CA" w:rsidRPr="0043245C" w:rsidRDefault="003804FC" w:rsidP="008842CA">
      <w:pPr>
        <w:jc w:val="both"/>
        <w:rPr>
          <w:rFonts w:ascii="Arial" w:hAnsi="Arial" w:cs="Arial"/>
          <w:sz w:val="22"/>
          <w:szCs w:val="22"/>
          <w:lang w:val="en-US"/>
        </w:rPr>
      </w:pPr>
      <w:r>
        <w:rPr>
          <w:rFonts w:ascii="Arial" w:hAnsi="Arial" w:cs="Arial"/>
          <w:sz w:val="22"/>
          <w:szCs w:val="22"/>
          <w:lang w:val="en-US"/>
        </w:rPr>
        <w:t xml:space="preserve">Now that the Guidelines have been adopted, the Genebank Platform will </w:t>
      </w:r>
      <w:r w:rsidR="008842CA" w:rsidRPr="0043245C">
        <w:rPr>
          <w:rFonts w:ascii="Arial" w:hAnsi="Arial" w:cs="Arial"/>
          <w:sz w:val="22"/>
          <w:szCs w:val="22"/>
          <w:lang w:val="en-US"/>
        </w:rPr>
        <w:t>coordinate the development of additional, complementary materials (</w:t>
      </w:r>
      <w:r>
        <w:rPr>
          <w:rFonts w:ascii="Arial" w:hAnsi="Arial" w:cs="Arial"/>
          <w:sz w:val="22"/>
          <w:szCs w:val="22"/>
          <w:lang w:val="en-US"/>
        </w:rPr>
        <w:t xml:space="preserve">including </w:t>
      </w:r>
      <w:r w:rsidR="008842CA" w:rsidRPr="0043245C">
        <w:rPr>
          <w:rFonts w:ascii="Arial" w:hAnsi="Arial" w:cs="Arial"/>
          <w:sz w:val="22"/>
          <w:szCs w:val="22"/>
          <w:lang w:val="en-US"/>
        </w:rPr>
        <w:t xml:space="preserve">written Q&amp;As, scenarios teasing out tricky </w:t>
      </w:r>
      <w:r w:rsidR="002B2673" w:rsidRPr="0043245C">
        <w:rPr>
          <w:rFonts w:ascii="Arial" w:hAnsi="Arial" w:cs="Arial"/>
          <w:sz w:val="22"/>
          <w:szCs w:val="22"/>
          <w:lang w:val="en-US"/>
        </w:rPr>
        <w:t>issues, an</w:t>
      </w:r>
      <w:r w:rsidR="008842CA" w:rsidRPr="0043245C">
        <w:rPr>
          <w:rFonts w:ascii="Arial" w:hAnsi="Arial" w:cs="Arial"/>
          <w:sz w:val="22"/>
          <w:szCs w:val="22"/>
          <w:lang w:val="en-US"/>
        </w:rPr>
        <w:t xml:space="preserve"> introductory video) to help CGIAR users understand issues raised and guidance provided by the </w:t>
      </w:r>
      <w:r w:rsidR="008842CA" w:rsidRPr="0043245C">
        <w:rPr>
          <w:rFonts w:ascii="Arial" w:hAnsi="Arial" w:cs="Arial"/>
          <w:i/>
          <w:sz w:val="22"/>
          <w:szCs w:val="22"/>
          <w:lang w:val="en-US"/>
        </w:rPr>
        <w:t xml:space="preserve">Guidelines on the Nagoya Protocol for CGIAR Research Centers. </w:t>
      </w:r>
      <w:r w:rsidR="008842CA" w:rsidRPr="0043245C">
        <w:rPr>
          <w:rFonts w:ascii="Arial" w:hAnsi="Arial" w:cs="Arial"/>
          <w:sz w:val="22"/>
          <w:szCs w:val="22"/>
          <w:lang w:val="en-US"/>
        </w:rPr>
        <w:t>The Policy Module also plans to develop templates and/or model clauses and practices for acquiring prior informed consent on</w:t>
      </w:r>
      <w:r w:rsidR="002B2673">
        <w:rPr>
          <w:rFonts w:ascii="Arial" w:hAnsi="Arial" w:cs="Arial"/>
          <w:sz w:val="22"/>
          <w:szCs w:val="22"/>
          <w:lang w:val="en-US"/>
        </w:rPr>
        <w:t xml:space="preserve"> </w:t>
      </w:r>
      <w:r w:rsidR="008842CA" w:rsidRPr="0043245C">
        <w:rPr>
          <w:rFonts w:ascii="Arial" w:hAnsi="Arial" w:cs="Arial"/>
          <w:sz w:val="22"/>
          <w:szCs w:val="22"/>
          <w:lang w:val="en-US"/>
        </w:rPr>
        <w:t xml:space="preserve">mutually agreed terms when accessing traditional knowledge or genetic resources that fall under the framework of the Convention on Biological Diversity (CBD) and its Nagoya Protocol. Finally, the Policy Module has plans to develop additional sections of the Guidelines on the Nagoya Protocol to address Centers’ access and distribution of animal, and microbial genetic resources. </w:t>
      </w:r>
    </w:p>
    <w:p w14:paraId="7377BCF0" w14:textId="77777777" w:rsidR="008842CA" w:rsidRPr="0043245C" w:rsidRDefault="008842CA" w:rsidP="008842CA">
      <w:pPr>
        <w:rPr>
          <w:rFonts w:ascii="Arial" w:hAnsi="Arial" w:cs="Arial"/>
          <w:sz w:val="22"/>
          <w:szCs w:val="22"/>
          <w:lang w:val="en-US"/>
        </w:rPr>
      </w:pPr>
    </w:p>
    <w:p w14:paraId="5EB015CA" w14:textId="22DD0BED" w:rsidR="008904E7" w:rsidRPr="0043245C" w:rsidRDefault="003D32CE" w:rsidP="0043245C">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References cited</w:t>
      </w:r>
    </w:p>
    <w:p w14:paraId="66A0D96D" w14:textId="5B4F86ED" w:rsidR="00353B9A" w:rsidRPr="00A87878" w:rsidRDefault="008842CA" w:rsidP="00A87878">
      <w:pPr>
        <w:rPr>
          <w:rFonts w:ascii="Arial" w:hAnsi="Arial" w:cs="Arial"/>
          <w:sz w:val="22"/>
          <w:szCs w:val="22"/>
          <w:lang w:val="en-US"/>
        </w:rPr>
      </w:pPr>
      <w:r w:rsidRPr="00A87878">
        <w:rPr>
          <w:rFonts w:ascii="Arial" w:hAnsi="Arial" w:cs="Arial"/>
          <w:sz w:val="22"/>
          <w:szCs w:val="22"/>
          <w:lang w:val="en-US"/>
        </w:rPr>
        <w:t xml:space="preserve">The </w:t>
      </w:r>
      <w:r w:rsidR="00353B9A" w:rsidRPr="00A87878">
        <w:rPr>
          <w:rFonts w:ascii="Arial" w:hAnsi="Arial" w:cs="Arial"/>
          <w:b/>
          <w:bCs/>
          <w:i/>
          <w:iCs/>
          <w:sz w:val="22"/>
          <w:szCs w:val="22"/>
          <w:lang w:val="en-US"/>
        </w:rPr>
        <w:t>Guideline</w:t>
      </w:r>
      <w:r w:rsidR="00353B9A" w:rsidRPr="00A87878">
        <w:rPr>
          <w:rFonts w:ascii="Arial" w:hAnsi="Arial" w:cs="Arial"/>
          <w:sz w:val="22"/>
          <w:szCs w:val="22"/>
          <w:lang w:val="en-US"/>
        </w:rPr>
        <w:t xml:space="preserve"> is</w:t>
      </w:r>
      <w:r w:rsidRPr="00A87878">
        <w:rPr>
          <w:rFonts w:ascii="Arial" w:hAnsi="Arial" w:cs="Arial"/>
          <w:sz w:val="22"/>
          <w:szCs w:val="22"/>
          <w:lang w:val="en-US"/>
        </w:rPr>
        <w:t xml:space="preserve"> available at</w:t>
      </w:r>
      <w:r w:rsidRPr="00A87878">
        <w:rPr>
          <w:rFonts w:ascii="Arial" w:hAnsi="Arial" w:cs="Arial"/>
          <w:i/>
          <w:sz w:val="22"/>
          <w:szCs w:val="22"/>
          <w:lang w:val="en-US"/>
        </w:rPr>
        <w:t xml:space="preserve"> </w:t>
      </w:r>
      <w:hyperlink r:id="rId7" w:history="1">
        <w:r w:rsidRPr="00A87878">
          <w:rPr>
            <w:rStyle w:val="Hyperlink"/>
            <w:rFonts w:ascii="Arial" w:hAnsi="Arial" w:cs="Arial"/>
            <w:sz w:val="22"/>
            <w:szCs w:val="22"/>
            <w:lang w:val="en-US"/>
          </w:rPr>
          <w:t>https://cgspace.cgiar.org/handle/10568/96240</w:t>
        </w:r>
      </w:hyperlink>
      <w:r w:rsidRPr="00A87878">
        <w:rPr>
          <w:rFonts w:ascii="Arial" w:hAnsi="Arial" w:cs="Arial"/>
          <w:sz w:val="22"/>
          <w:szCs w:val="22"/>
          <w:lang w:val="en-US"/>
        </w:rPr>
        <w:t>.</w:t>
      </w:r>
    </w:p>
    <w:p w14:paraId="6699B4B6" w14:textId="48611DD5" w:rsidR="00353B9A" w:rsidRPr="00A87878" w:rsidRDefault="00353B9A" w:rsidP="00A87878">
      <w:pPr>
        <w:rPr>
          <w:rFonts w:ascii="Arial" w:eastAsia="Cambria" w:hAnsi="Arial" w:cs="Arial"/>
          <w:sz w:val="22"/>
          <w:szCs w:val="22"/>
          <w:lang w:val="en-US"/>
        </w:rPr>
      </w:pPr>
      <w:r w:rsidRPr="00A87878">
        <w:rPr>
          <w:rFonts w:ascii="Arial" w:hAnsi="Arial" w:cs="Arial"/>
          <w:color w:val="231F20"/>
          <w:sz w:val="22"/>
          <w:szCs w:val="22"/>
          <w:lang w:val="en-US"/>
        </w:rPr>
        <w:t>Text on the “</w:t>
      </w:r>
      <w:r w:rsidRPr="00A87878">
        <w:rPr>
          <w:rFonts w:ascii="Arial" w:eastAsia="Cambria" w:hAnsi="Arial" w:cs="Arial"/>
          <w:color w:val="231F20"/>
          <w:sz w:val="22"/>
          <w:szCs w:val="22"/>
          <w:lang w:val="en-US"/>
        </w:rPr>
        <w:t>Nagoya Protocol on Access and Benefit Sharing and the Fair and Equitable Sharing of Benefits Arising from</w:t>
      </w:r>
      <w:r w:rsidRPr="00A87878">
        <w:rPr>
          <w:rFonts w:ascii="Arial" w:hAnsi="Arial" w:cs="Arial"/>
          <w:color w:val="231F20"/>
          <w:sz w:val="22"/>
          <w:szCs w:val="22"/>
          <w:lang w:val="en-US"/>
        </w:rPr>
        <w:t xml:space="preserve"> </w:t>
      </w:r>
      <w:r w:rsidRPr="00A87878">
        <w:rPr>
          <w:rFonts w:ascii="Arial" w:eastAsia="Cambria" w:hAnsi="Arial" w:cs="Arial"/>
          <w:color w:val="231F20"/>
          <w:sz w:val="22"/>
          <w:szCs w:val="22"/>
          <w:lang w:val="en-US"/>
        </w:rPr>
        <w:t>Their Utilization</w:t>
      </w:r>
      <w:r w:rsidRPr="00A87878">
        <w:rPr>
          <w:rFonts w:ascii="Arial" w:hAnsi="Arial" w:cs="Arial"/>
          <w:color w:val="231F20"/>
          <w:sz w:val="22"/>
          <w:szCs w:val="22"/>
          <w:lang w:val="en-US"/>
        </w:rPr>
        <w:t>”</w:t>
      </w:r>
      <w:r w:rsidRPr="00A87878">
        <w:rPr>
          <w:rFonts w:ascii="Arial" w:eastAsia="Cambria" w:hAnsi="Arial" w:cs="Arial"/>
          <w:color w:val="231F20"/>
          <w:sz w:val="22"/>
          <w:szCs w:val="22"/>
          <w:lang w:val="en-US"/>
        </w:rPr>
        <w:t xml:space="preserve"> </w:t>
      </w:r>
      <w:r w:rsidRPr="00A87878">
        <w:rPr>
          <w:rFonts w:ascii="Arial" w:hAnsi="Arial" w:cs="Arial"/>
          <w:sz w:val="22"/>
          <w:szCs w:val="22"/>
          <w:lang w:val="en-US"/>
        </w:rPr>
        <w:t>is available</w:t>
      </w:r>
      <w:r w:rsidRPr="00A87878">
        <w:rPr>
          <w:rFonts w:ascii="Arial" w:hAnsi="Arial" w:cs="Arial"/>
          <w:color w:val="231F20"/>
          <w:sz w:val="22"/>
          <w:szCs w:val="22"/>
          <w:lang w:val="en-US"/>
        </w:rPr>
        <w:t xml:space="preserve"> at</w:t>
      </w:r>
      <w:r w:rsidRPr="00A87878">
        <w:rPr>
          <w:rFonts w:ascii="Arial" w:eastAsia="Cambria" w:hAnsi="Arial" w:cs="Arial"/>
          <w:color w:val="231F20"/>
          <w:sz w:val="22"/>
          <w:szCs w:val="22"/>
          <w:lang w:val="en-US"/>
        </w:rPr>
        <w:t xml:space="preserve"> </w:t>
      </w:r>
      <w:hyperlink r:id="rId8" w:history="1">
        <w:r w:rsidRPr="00A87878">
          <w:rPr>
            <w:rStyle w:val="Hyperlink"/>
            <w:rFonts w:ascii="Arial" w:eastAsia="Cambria" w:hAnsi="Arial" w:cs="Arial"/>
            <w:sz w:val="22"/>
            <w:szCs w:val="22"/>
            <w:lang w:val="en-US" w:eastAsia="en-GB"/>
          </w:rPr>
          <w:t>http://www.cbd.int/abs/text/</w:t>
        </w:r>
      </w:hyperlink>
      <w:r w:rsidRPr="00A87878">
        <w:rPr>
          <w:rFonts w:ascii="Arial" w:hAnsi="Arial" w:cs="Arial"/>
          <w:color w:val="231F20"/>
          <w:sz w:val="22"/>
          <w:szCs w:val="22"/>
          <w:lang w:val="en-US"/>
        </w:rPr>
        <w:t xml:space="preserve"> </w:t>
      </w:r>
    </w:p>
    <w:p w14:paraId="436B0978" w14:textId="77777777" w:rsidR="008842CA" w:rsidRPr="0043245C" w:rsidRDefault="008842CA" w:rsidP="008842CA">
      <w:pPr>
        <w:rPr>
          <w:rFonts w:ascii="Arial" w:hAnsi="Arial" w:cs="Arial"/>
          <w:sz w:val="22"/>
          <w:szCs w:val="22"/>
          <w:lang w:val="en-US"/>
        </w:rPr>
      </w:pPr>
    </w:p>
    <w:p w14:paraId="092D4DB5" w14:textId="2972AD7D" w:rsidR="0043245C" w:rsidRPr="0043245C" w:rsidRDefault="003D32CE" w:rsidP="0043245C">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 xml:space="preserve">Quantification </w:t>
      </w:r>
    </w:p>
    <w:p w14:paraId="14DF5F9B" w14:textId="398AC625" w:rsidR="008904E7" w:rsidRPr="00A87878" w:rsidRDefault="008842CA" w:rsidP="00A87878">
      <w:pPr>
        <w:ind w:right="79"/>
        <w:rPr>
          <w:rFonts w:ascii="Arial" w:eastAsia="Arial" w:hAnsi="Arial" w:cs="Arial"/>
          <w:color w:val="000000"/>
          <w:sz w:val="22"/>
          <w:szCs w:val="22"/>
        </w:rPr>
      </w:pPr>
      <w:r w:rsidRPr="00A87878">
        <w:rPr>
          <w:rFonts w:ascii="Arial" w:eastAsia="Arial" w:hAnsi="Arial" w:cs="Arial"/>
          <w:color w:val="000000"/>
          <w:sz w:val="22"/>
          <w:szCs w:val="22"/>
        </w:rPr>
        <w:t>N/A</w:t>
      </w:r>
    </w:p>
    <w:p w14:paraId="063FE72A" w14:textId="77777777" w:rsidR="002A639F" w:rsidRPr="0043245C" w:rsidRDefault="002A639F" w:rsidP="0043245C">
      <w:pPr>
        <w:ind w:right="79"/>
        <w:rPr>
          <w:rFonts w:ascii="Arial" w:hAnsi="Arial" w:cs="Arial"/>
          <w:sz w:val="22"/>
          <w:szCs w:val="22"/>
          <w:highlight w:val="yellow"/>
        </w:rPr>
      </w:pPr>
    </w:p>
    <w:p w14:paraId="5863786D" w14:textId="43B88DB5" w:rsidR="008904E7" w:rsidRPr="0043245C" w:rsidRDefault="003D32CE" w:rsidP="0043245C">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 xml:space="preserve">Gender, Youth, Capacity Development, Climate Change </w:t>
      </w:r>
    </w:p>
    <w:p w14:paraId="7B0FD37F" w14:textId="72FA6C8C" w:rsidR="008904E7" w:rsidRPr="00A87878" w:rsidRDefault="0043245C" w:rsidP="00A87878">
      <w:pPr>
        <w:ind w:right="78"/>
        <w:rPr>
          <w:rFonts w:ascii="Arial" w:eastAsia="Arial" w:hAnsi="Arial" w:cs="Arial"/>
          <w:bCs/>
          <w:color w:val="000000"/>
          <w:sz w:val="22"/>
          <w:szCs w:val="22"/>
        </w:rPr>
      </w:pPr>
      <w:r w:rsidRPr="00A87878">
        <w:rPr>
          <w:rFonts w:ascii="Arial" w:eastAsia="Arial" w:hAnsi="Arial" w:cs="Arial"/>
          <w:bCs/>
          <w:color w:val="000000" w:themeColor="text1"/>
          <w:sz w:val="22"/>
          <w:szCs w:val="22"/>
        </w:rPr>
        <w:t>Capacity Development</w:t>
      </w:r>
      <w:r w:rsidR="003D32CE" w:rsidRPr="00A87878">
        <w:rPr>
          <w:rFonts w:ascii="Arial" w:eastAsia="Arial" w:hAnsi="Arial" w:cs="Arial"/>
          <w:bCs/>
          <w:color w:val="000000"/>
          <w:sz w:val="22"/>
          <w:szCs w:val="22"/>
        </w:rPr>
        <w:t>, 1=significant</w:t>
      </w:r>
    </w:p>
    <w:p w14:paraId="1352CC90" w14:textId="1EF824C1" w:rsidR="009F4BA6" w:rsidRPr="00A87878" w:rsidRDefault="009F4BA6" w:rsidP="00A87878">
      <w:pPr>
        <w:rPr>
          <w:rFonts w:ascii="Arial" w:hAnsi="Arial" w:cs="Arial"/>
          <w:sz w:val="22"/>
          <w:szCs w:val="22"/>
        </w:rPr>
      </w:pPr>
      <w:r w:rsidRPr="00A87878">
        <w:rPr>
          <w:rFonts w:ascii="Arial" w:hAnsi="Arial" w:cs="Arial"/>
          <w:sz w:val="22"/>
          <w:szCs w:val="22"/>
        </w:rPr>
        <w:t xml:space="preserve">These guidelines are meant to help the CGIAR </w:t>
      </w:r>
      <w:proofErr w:type="spellStart"/>
      <w:r w:rsidRPr="00A87878">
        <w:rPr>
          <w:rFonts w:ascii="Arial" w:hAnsi="Arial" w:cs="Arial"/>
          <w:sz w:val="22"/>
          <w:szCs w:val="22"/>
        </w:rPr>
        <w:t>Centers</w:t>
      </w:r>
      <w:proofErr w:type="spellEnd"/>
      <w:r w:rsidRPr="00A87878">
        <w:rPr>
          <w:rFonts w:ascii="Arial" w:hAnsi="Arial" w:cs="Arial"/>
          <w:sz w:val="22"/>
          <w:szCs w:val="22"/>
        </w:rPr>
        <w:t xml:space="preserve"> understand which areas of their plant genetic resources-related activities could be affected by the Nagoya Protocol, and what their options are in terms of how they can comply with the</w:t>
      </w:r>
      <w:r w:rsidR="00195C26">
        <w:rPr>
          <w:rFonts w:ascii="Arial" w:hAnsi="Arial" w:cs="Arial"/>
          <w:sz w:val="22"/>
          <w:szCs w:val="22"/>
        </w:rPr>
        <w:t>se</w:t>
      </w:r>
      <w:r w:rsidRPr="00A87878">
        <w:rPr>
          <w:rFonts w:ascii="Arial" w:hAnsi="Arial" w:cs="Arial"/>
          <w:sz w:val="22"/>
          <w:szCs w:val="22"/>
        </w:rPr>
        <w:t xml:space="preserve"> legal obligations. </w:t>
      </w:r>
    </w:p>
    <w:p w14:paraId="2ECBA1E1" w14:textId="77777777" w:rsidR="002A639F" w:rsidRPr="0043245C" w:rsidRDefault="002A639F" w:rsidP="00B505AB">
      <w:pPr>
        <w:ind w:right="78"/>
        <w:rPr>
          <w:rFonts w:ascii="Arial" w:hAnsi="Arial" w:cs="Arial"/>
          <w:bCs/>
          <w:sz w:val="22"/>
          <w:szCs w:val="22"/>
        </w:rPr>
      </w:pPr>
    </w:p>
    <w:p w14:paraId="2931B08A" w14:textId="7E6BC97D" w:rsidR="008904E7" w:rsidRPr="0043245C" w:rsidRDefault="003D32CE" w:rsidP="0043245C">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Other cross-cutting dimensions</w:t>
      </w:r>
    </w:p>
    <w:p w14:paraId="30E20D96" w14:textId="4AE51343" w:rsidR="008904E7" w:rsidRPr="00A87878" w:rsidRDefault="00195C26" w:rsidP="00A87878">
      <w:pPr>
        <w:ind w:right="78"/>
        <w:rPr>
          <w:rFonts w:ascii="Arial" w:eastAsia="Arial" w:hAnsi="Arial" w:cs="Arial"/>
          <w:color w:val="000000"/>
          <w:sz w:val="22"/>
          <w:szCs w:val="22"/>
        </w:rPr>
      </w:pPr>
      <w:r>
        <w:rPr>
          <w:rFonts w:ascii="Arial" w:eastAsia="Arial" w:hAnsi="Arial" w:cs="Arial"/>
          <w:color w:val="000000"/>
          <w:sz w:val="22"/>
          <w:szCs w:val="22"/>
        </w:rPr>
        <w:t xml:space="preserve">The Nagoya Protocol and Convention on Biological Diversity require that materials and traditional knowledge can only be collected from indigenous peoples and local communities subject to prior informed consent and mutually agreed terms. The guidelines raise </w:t>
      </w:r>
      <w:proofErr w:type="spellStart"/>
      <w:r>
        <w:rPr>
          <w:rFonts w:ascii="Arial" w:eastAsia="Arial" w:hAnsi="Arial" w:cs="Arial"/>
          <w:color w:val="000000"/>
          <w:sz w:val="22"/>
          <w:szCs w:val="22"/>
        </w:rPr>
        <w:t>Centers’</w:t>
      </w:r>
      <w:proofErr w:type="spellEnd"/>
      <w:r>
        <w:rPr>
          <w:rFonts w:ascii="Arial" w:eastAsia="Arial" w:hAnsi="Arial" w:cs="Arial"/>
          <w:color w:val="000000"/>
          <w:sz w:val="22"/>
          <w:szCs w:val="22"/>
        </w:rPr>
        <w:t xml:space="preserve"> awareness about these rights of indigenous peoples and local communities, and how the </w:t>
      </w:r>
      <w:proofErr w:type="spellStart"/>
      <w:r>
        <w:rPr>
          <w:rFonts w:ascii="Arial" w:eastAsia="Arial" w:hAnsi="Arial" w:cs="Arial"/>
          <w:color w:val="000000"/>
          <w:sz w:val="22"/>
          <w:szCs w:val="22"/>
        </w:rPr>
        <w:t>Centers</w:t>
      </w:r>
      <w:proofErr w:type="spellEnd"/>
      <w:r>
        <w:rPr>
          <w:rFonts w:ascii="Arial" w:eastAsia="Arial" w:hAnsi="Arial" w:cs="Arial"/>
          <w:color w:val="000000"/>
          <w:sz w:val="22"/>
          <w:szCs w:val="22"/>
        </w:rPr>
        <w:t xml:space="preserve"> can respect and promote them in their day-to-day research and development activities.  </w:t>
      </w:r>
    </w:p>
    <w:p w14:paraId="567624D8" w14:textId="77777777" w:rsidR="002A639F" w:rsidRPr="0043245C" w:rsidRDefault="002A639F" w:rsidP="00B505AB">
      <w:pPr>
        <w:ind w:right="78"/>
        <w:rPr>
          <w:rFonts w:ascii="Arial" w:eastAsia="Arial" w:hAnsi="Arial" w:cs="Arial"/>
          <w:b/>
          <w:color w:val="434343"/>
          <w:sz w:val="22"/>
          <w:szCs w:val="22"/>
        </w:rPr>
      </w:pPr>
    </w:p>
    <w:p w14:paraId="6B2FFB92" w14:textId="3440F16A" w:rsidR="008904E7" w:rsidRPr="0043245C" w:rsidRDefault="003D32CE" w:rsidP="0043245C">
      <w:pPr>
        <w:pStyle w:val="ListParagraph"/>
        <w:numPr>
          <w:ilvl w:val="0"/>
          <w:numId w:val="8"/>
        </w:numPr>
        <w:ind w:right="78"/>
        <w:rPr>
          <w:rFonts w:ascii="Arial" w:eastAsia="Arial" w:hAnsi="Arial" w:cs="Arial"/>
          <w:b/>
          <w:i/>
          <w:iCs/>
          <w:color w:val="000000" w:themeColor="text1"/>
        </w:rPr>
      </w:pPr>
      <w:r w:rsidRPr="0043245C">
        <w:rPr>
          <w:rFonts w:ascii="Arial" w:eastAsia="Arial" w:hAnsi="Arial" w:cs="Arial"/>
          <w:b/>
          <w:i/>
          <w:iCs/>
          <w:color w:val="000000" w:themeColor="text1"/>
        </w:rPr>
        <w:t>Contact person</w:t>
      </w:r>
    </w:p>
    <w:p w14:paraId="2787E05E" w14:textId="43746BB7" w:rsidR="0043245C" w:rsidRPr="009F4BA6" w:rsidRDefault="00F16D4B" w:rsidP="00A87878">
      <w:pPr>
        <w:ind w:right="78"/>
        <w:rPr>
          <w:rFonts w:ascii="Arial" w:eastAsia="Arial" w:hAnsi="Arial" w:cs="Arial"/>
          <w:b/>
          <w:bCs/>
          <w:color w:val="000000"/>
          <w:sz w:val="22"/>
          <w:szCs w:val="22"/>
        </w:rPr>
      </w:pPr>
      <w:r>
        <w:rPr>
          <w:rFonts w:ascii="Arial" w:eastAsia="Arial" w:hAnsi="Arial" w:cs="Arial"/>
          <w:b/>
          <w:bCs/>
          <w:color w:val="000000"/>
          <w:sz w:val="22"/>
          <w:szCs w:val="22"/>
        </w:rPr>
        <w:t>Michael Halewood</w:t>
      </w:r>
    </w:p>
    <w:p w14:paraId="128A9149" w14:textId="4BC8F4E2" w:rsidR="0043245C" w:rsidRDefault="00F16D4B" w:rsidP="00F16D4B">
      <w:pPr>
        <w:ind w:right="78"/>
        <w:rPr>
          <w:rFonts w:ascii="Arial" w:eastAsia="Arial" w:hAnsi="Arial" w:cs="Arial"/>
          <w:color w:val="000000"/>
          <w:sz w:val="22"/>
          <w:szCs w:val="22"/>
        </w:rPr>
      </w:pPr>
      <w:r>
        <w:rPr>
          <w:rFonts w:ascii="Arial" w:eastAsia="Arial" w:hAnsi="Arial" w:cs="Arial"/>
          <w:color w:val="000000"/>
          <w:sz w:val="22"/>
          <w:szCs w:val="22"/>
        </w:rPr>
        <w:t xml:space="preserve">Policy Module </w:t>
      </w:r>
      <w:r w:rsidR="0043245C">
        <w:rPr>
          <w:rFonts w:ascii="Arial" w:eastAsia="Arial" w:hAnsi="Arial" w:cs="Arial"/>
          <w:color w:val="000000"/>
          <w:sz w:val="22"/>
          <w:szCs w:val="22"/>
        </w:rPr>
        <w:t>Coordinator</w:t>
      </w:r>
    </w:p>
    <w:p w14:paraId="77676BF9" w14:textId="4797A630" w:rsidR="00F16D4B" w:rsidRDefault="00F16D4B" w:rsidP="00F16D4B">
      <w:pPr>
        <w:ind w:right="78"/>
        <w:rPr>
          <w:rFonts w:ascii="Arial" w:eastAsia="Arial" w:hAnsi="Arial" w:cs="Arial"/>
          <w:color w:val="000000"/>
          <w:sz w:val="22"/>
          <w:szCs w:val="22"/>
        </w:rPr>
      </w:pPr>
      <w:proofErr w:type="spellStart"/>
      <w:r>
        <w:rPr>
          <w:rFonts w:ascii="Arial" w:eastAsia="Arial" w:hAnsi="Arial" w:cs="Arial"/>
          <w:color w:val="000000"/>
          <w:sz w:val="22"/>
          <w:szCs w:val="22"/>
        </w:rPr>
        <w:t>Bioversity</w:t>
      </w:r>
      <w:proofErr w:type="spellEnd"/>
      <w:r>
        <w:rPr>
          <w:rFonts w:ascii="Arial" w:eastAsia="Arial" w:hAnsi="Arial" w:cs="Arial"/>
          <w:color w:val="000000"/>
          <w:sz w:val="22"/>
          <w:szCs w:val="22"/>
        </w:rPr>
        <w:t xml:space="preserve"> International</w:t>
      </w:r>
    </w:p>
    <w:p w14:paraId="0F70752A" w14:textId="0D09BD5C" w:rsidR="0043245C" w:rsidRPr="0043245C" w:rsidRDefault="00F16D4B" w:rsidP="00A87878">
      <w:pPr>
        <w:ind w:right="78"/>
        <w:rPr>
          <w:rFonts w:ascii="Arial" w:hAnsi="Arial" w:cs="Arial"/>
          <w:sz w:val="22"/>
          <w:szCs w:val="22"/>
        </w:rPr>
      </w:pPr>
      <w:r w:rsidRPr="00F16D4B">
        <w:rPr>
          <w:rFonts w:ascii="Arial" w:eastAsia="Arial" w:hAnsi="Arial" w:cs="Arial"/>
          <w:sz w:val="22"/>
          <w:szCs w:val="22"/>
        </w:rPr>
        <w:t>m</w:t>
      </w:r>
      <w:r>
        <w:rPr>
          <w:rFonts w:ascii="Arial" w:eastAsia="Arial" w:hAnsi="Arial" w:cs="Arial"/>
          <w:sz w:val="22"/>
          <w:szCs w:val="22"/>
        </w:rPr>
        <w:t>.halewood@cgiar.org</w:t>
      </w:r>
      <w:r w:rsidR="00A87878">
        <w:rPr>
          <w:rFonts w:ascii="Arial" w:eastAsia="Arial" w:hAnsi="Arial" w:cs="Arial"/>
          <w:color w:val="000000"/>
          <w:sz w:val="22"/>
          <w:szCs w:val="22"/>
        </w:rPr>
        <w:t xml:space="preserve"> </w:t>
      </w:r>
    </w:p>
    <w:sectPr w:rsidR="0043245C" w:rsidRPr="0043245C" w:rsidSect="0043245C">
      <w:headerReference w:type="default" r:id="rId9"/>
      <w:footerReference w:type="default" r:id="rId10"/>
      <w:pgSz w:w="11900" w:h="16840"/>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926BA" w14:textId="77777777" w:rsidR="003B0AB9" w:rsidRDefault="003B0AB9">
      <w:r>
        <w:separator/>
      </w:r>
    </w:p>
  </w:endnote>
  <w:endnote w:type="continuationSeparator" w:id="0">
    <w:p w14:paraId="678A47F2" w14:textId="77777777" w:rsidR="003B0AB9" w:rsidRDefault="003B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59C0" w14:textId="0CBC3389" w:rsidR="008904E7" w:rsidRPr="0043245C" w:rsidRDefault="003D32CE">
    <w:pPr>
      <w:jc w:val="right"/>
      <w:rPr>
        <w:rFonts w:ascii="Arial" w:hAnsi="Arial" w:cs="Arial"/>
        <w:sz w:val="20"/>
        <w:szCs w:val="20"/>
      </w:rPr>
    </w:pPr>
    <w:r w:rsidRPr="0043245C">
      <w:rPr>
        <w:rFonts w:ascii="Arial" w:hAnsi="Arial" w:cs="Arial"/>
        <w:sz w:val="20"/>
        <w:szCs w:val="20"/>
      </w:rPr>
      <w:fldChar w:fldCharType="begin"/>
    </w:r>
    <w:r w:rsidRPr="0043245C">
      <w:rPr>
        <w:rFonts w:ascii="Arial" w:hAnsi="Arial" w:cs="Arial"/>
        <w:sz w:val="20"/>
        <w:szCs w:val="20"/>
      </w:rPr>
      <w:instrText>PAGE</w:instrText>
    </w:r>
    <w:r w:rsidRPr="0043245C">
      <w:rPr>
        <w:rFonts w:ascii="Arial" w:hAnsi="Arial" w:cs="Arial"/>
        <w:sz w:val="20"/>
        <w:szCs w:val="20"/>
      </w:rPr>
      <w:fldChar w:fldCharType="separate"/>
    </w:r>
    <w:r w:rsidR="00FC7077">
      <w:rPr>
        <w:rFonts w:ascii="Arial" w:hAnsi="Arial" w:cs="Arial"/>
        <w:noProof/>
        <w:sz w:val="20"/>
        <w:szCs w:val="20"/>
      </w:rPr>
      <w:t>1</w:t>
    </w:r>
    <w:r w:rsidRPr="0043245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F0120" w14:textId="77777777" w:rsidR="003B0AB9" w:rsidRDefault="003B0AB9">
      <w:r>
        <w:separator/>
      </w:r>
    </w:p>
  </w:footnote>
  <w:footnote w:type="continuationSeparator" w:id="0">
    <w:p w14:paraId="13DCAF98" w14:textId="77777777" w:rsidR="003B0AB9" w:rsidRDefault="003B0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BB9E" w14:textId="788AA311" w:rsidR="009F4BA6" w:rsidRPr="009F4BA6" w:rsidRDefault="009F4BA6">
    <w:pPr>
      <w:pStyle w:val="Header"/>
      <w:rPr>
        <w:rFonts w:ascii="Arial" w:hAnsi="Arial" w:cs="Arial"/>
        <w:sz w:val="20"/>
        <w:szCs w:val="20"/>
        <w:lang w:val="en-US"/>
      </w:rPr>
    </w:pPr>
    <w:r w:rsidRPr="009F4BA6">
      <w:rPr>
        <w:rFonts w:ascii="Arial" w:hAnsi="Arial" w:cs="Arial"/>
        <w:sz w:val="20"/>
        <w:szCs w:val="20"/>
        <w:lang w:val="en-US"/>
      </w:rPr>
      <w:t>Genebank Platform: Policy Module OICR 1</w:t>
    </w:r>
    <w:r>
      <w:rPr>
        <w:rFonts w:ascii="Arial" w:hAnsi="Arial" w:cs="Arial"/>
        <w:sz w:val="20"/>
        <w:szCs w:val="20"/>
        <w:lang w:val="en-US"/>
      </w:rPr>
      <w:tab/>
    </w:r>
    <w:r>
      <w:rPr>
        <w:rFonts w:ascii="Arial" w:hAnsi="Arial" w:cs="Arial"/>
        <w:sz w:val="20"/>
        <w:szCs w:val="20"/>
        <w:lang w:val="en-US"/>
      </w:rPr>
      <w:tab/>
    </w:r>
    <w:r w:rsidR="002B2673">
      <w:rPr>
        <w:rFonts w:ascii="Arial" w:hAnsi="Arial" w:cs="Arial"/>
        <w:sz w:val="20"/>
        <w:szCs w:val="20"/>
        <w:lang w:val="en-US"/>
      </w:rPr>
      <w:t>June</w:t>
    </w:r>
    <w:r>
      <w:rPr>
        <w:rFonts w:ascii="Arial" w:hAnsi="Arial" w:cs="Arial"/>
        <w:sz w:val="20"/>
        <w:szCs w:val="20"/>
        <w:lang w:val="en-US"/>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72F"/>
    <w:multiLevelType w:val="hybridMultilevel"/>
    <w:tmpl w:val="35DA6C74"/>
    <w:lvl w:ilvl="0" w:tplc="C0CCEDCC">
      <w:start w:val="1"/>
      <w:numFmt w:val="decimal"/>
      <w:lvlText w:val="%1."/>
      <w:lvlJc w:val="left"/>
      <w:pPr>
        <w:ind w:left="-360" w:hanging="360"/>
      </w:pPr>
      <w:rPr>
        <w:rFonts w:eastAsia="Arial" w:hint="default"/>
        <w:color w:val="434343"/>
        <w:sz w:val="2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BFA1ECA"/>
    <w:multiLevelType w:val="hybridMultilevel"/>
    <w:tmpl w:val="29FCFE52"/>
    <w:lvl w:ilvl="0" w:tplc="5C42CEC6">
      <w:start w:val="1"/>
      <w:numFmt w:val="decimal"/>
      <w:lvlText w:val="%1."/>
      <w:lvlJc w:val="left"/>
      <w:pPr>
        <w:ind w:left="0" w:firstLine="0"/>
      </w:pPr>
      <w:rPr>
        <w:rFonts w:ascii="Arial" w:hAnsi="Arial" w:hint="default"/>
        <w:b/>
        <w:i w:val="0"/>
        <w:sz w:val="24"/>
        <w:szCs w:val="2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C43165C"/>
    <w:multiLevelType w:val="hybridMultilevel"/>
    <w:tmpl w:val="DB98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25E1D"/>
    <w:multiLevelType w:val="multilevel"/>
    <w:tmpl w:val="A302188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305D256F"/>
    <w:multiLevelType w:val="hybridMultilevel"/>
    <w:tmpl w:val="AD66AF1A"/>
    <w:lvl w:ilvl="0" w:tplc="EB300F14">
      <w:start w:val="1"/>
      <w:numFmt w:val="decimal"/>
      <w:lvlText w:val="%1."/>
      <w:lvlJc w:val="left"/>
      <w:pPr>
        <w:ind w:left="-360" w:hanging="360"/>
      </w:pPr>
      <w:rPr>
        <w:rFonts w:hint="default"/>
        <w:sz w:val="2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32034980"/>
    <w:multiLevelType w:val="hybridMultilevel"/>
    <w:tmpl w:val="C970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F3394"/>
    <w:multiLevelType w:val="hybridMultilevel"/>
    <w:tmpl w:val="CB56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32DAB"/>
    <w:multiLevelType w:val="multilevel"/>
    <w:tmpl w:val="793E9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E5169A"/>
    <w:multiLevelType w:val="hybridMultilevel"/>
    <w:tmpl w:val="F20427C0"/>
    <w:lvl w:ilvl="0" w:tplc="2FF2AB16">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52641F43"/>
    <w:multiLevelType w:val="multilevel"/>
    <w:tmpl w:val="F6DCD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981AC9"/>
    <w:multiLevelType w:val="hybridMultilevel"/>
    <w:tmpl w:val="8600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1096E"/>
    <w:multiLevelType w:val="hybridMultilevel"/>
    <w:tmpl w:val="D6AE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4048A"/>
    <w:multiLevelType w:val="hybridMultilevel"/>
    <w:tmpl w:val="92FC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81192"/>
    <w:multiLevelType w:val="multilevel"/>
    <w:tmpl w:val="5426BC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A94416B"/>
    <w:multiLevelType w:val="hybridMultilevel"/>
    <w:tmpl w:val="E47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E0D90"/>
    <w:multiLevelType w:val="hybridMultilevel"/>
    <w:tmpl w:val="B958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7"/>
  </w:num>
  <w:num w:numId="5">
    <w:abstractNumId w:val="4"/>
  </w:num>
  <w:num w:numId="6">
    <w:abstractNumId w:val="0"/>
  </w:num>
  <w:num w:numId="7">
    <w:abstractNumId w:val="8"/>
  </w:num>
  <w:num w:numId="8">
    <w:abstractNumId w:val="1"/>
  </w:num>
  <w:num w:numId="9">
    <w:abstractNumId w:val="5"/>
  </w:num>
  <w:num w:numId="10">
    <w:abstractNumId w:val="2"/>
  </w:num>
  <w:num w:numId="11">
    <w:abstractNumId w:val="10"/>
  </w:num>
  <w:num w:numId="12">
    <w:abstractNumId w:val="6"/>
  </w:num>
  <w:num w:numId="13">
    <w:abstractNumId w:val="14"/>
  </w:num>
  <w:num w:numId="14">
    <w:abstractNumId w:val="1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E7"/>
    <w:rsid w:val="0000645A"/>
    <w:rsid w:val="00027516"/>
    <w:rsid w:val="00063933"/>
    <w:rsid w:val="00136332"/>
    <w:rsid w:val="00151A61"/>
    <w:rsid w:val="00195C26"/>
    <w:rsid w:val="001C46C8"/>
    <w:rsid w:val="002448A5"/>
    <w:rsid w:val="002A639F"/>
    <w:rsid w:val="002B2673"/>
    <w:rsid w:val="00333B20"/>
    <w:rsid w:val="00353B9A"/>
    <w:rsid w:val="003804FC"/>
    <w:rsid w:val="00396270"/>
    <w:rsid w:val="003B0AB9"/>
    <w:rsid w:val="003D32CE"/>
    <w:rsid w:val="0043245C"/>
    <w:rsid w:val="00456B0B"/>
    <w:rsid w:val="0060063C"/>
    <w:rsid w:val="007A7813"/>
    <w:rsid w:val="008842CA"/>
    <w:rsid w:val="008904E7"/>
    <w:rsid w:val="008D67C5"/>
    <w:rsid w:val="0093709B"/>
    <w:rsid w:val="00960895"/>
    <w:rsid w:val="009B1DE0"/>
    <w:rsid w:val="009F4BA6"/>
    <w:rsid w:val="00A87878"/>
    <w:rsid w:val="00AB514D"/>
    <w:rsid w:val="00B0320B"/>
    <w:rsid w:val="00B505AB"/>
    <w:rsid w:val="00BB4F05"/>
    <w:rsid w:val="00BE68B5"/>
    <w:rsid w:val="00BF7DCE"/>
    <w:rsid w:val="00C70727"/>
    <w:rsid w:val="00D40625"/>
    <w:rsid w:val="00E22800"/>
    <w:rsid w:val="00E719E8"/>
    <w:rsid w:val="00F16D4B"/>
    <w:rsid w:val="00F91C67"/>
    <w:rsid w:val="00FC7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8DD4"/>
  <w15:docId w15:val="{36C9512D-A442-4054-AE97-BBAB8643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3B9A"/>
    <w:rPr>
      <w:rFonts w:ascii="Times New Roman" w:eastAsia="Times New Roman" w:hAnsi="Times New Roman" w:cs="Times New Roman"/>
      <w:lang w:val="en-IE" w:eastAsia="en-US"/>
    </w:rPr>
  </w:style>
  <w:style w:type="paragraph" w:styleId="Heading1">
    <w:name w:val="heading 1"/>
    <w:basedOn w:val="Normal"/>
    <w:next w:val="Normal"/>
    <w:uiPriority w:val="9"/>
    <w:qFormat/>
    <w:pPr>
      <w:spacing w:before="100" w:after="100"/>
      <w:outlineLvl w:val="0"/>
    </w:pPr>
    <w:rPr>
      <w:b/>
      <w:sz w:val="48"/>
      <w:szCs w:val="48"/>
      <w:lang w:val="en-GB" w:eastAsia="en-GB"/>
    </w:rPr>
  </w:style>
  <w:style w:type="paragraph" w:styleId="Heading2">
    <w:name w:val="heading 2"/>
    <w:basedOn w:val="Normal"/>
    <w:next w:val="Normal"/>
    <w:uiPriority w:val="9"/>
    <w:unhideWhenUsed/>
    <w:qFormat/>
    <w:pPr>
      <w:spacing w:before="100" w:after="100"/>
      <w:outlineLvl w:val="1"/>
    </w:pPr>
    <w:rPr>
      <w:b/>
      <w:sz w:val="36"/>
      <w:szCs w:val="36"/>
      <w:lang w:val="en-GB" w:eastAsia="en-GB"/>
    </w:rPr>
  </w:style>
  <w:style w:type="paragraph" w:styleId="Heading3">
    <w:name w:val="heading 3"/>
    <w:basedOn w:val="Normal"/>
    <w:next w:val="Normal"/>
    <w:uiPriority w:val="9"/>
    <w:semiHidden/>
    <w:unhideWhenUsed/>
    <w:qFormat/>
    <w:pPr>
      <w:spacing w:before="100" w:after="100"/>
      <w:outlineLvl w:val="2"/>
    </w:pPr>
    <w:rPr>
      <w:b/>
      <w:sz w:val="27"/>
      <w:szCs w:val="27"/>
      <w:lang w:val="en-GB" w:eastAsia="en-GB"/>
    </w:rPr>
  </w:style>
  <w:style w:type="paragraph" w:styleId="Heading4">
    <w:name w:val="heading 4"/>
    <w:basedOn w:val="Normal"/>
    <w:next w:val="Normal"/>
    <w:uiPriority w:val="9"/>
    <w:semiHidden/>
    <w:unhideWhenUsed/>
    <w:qFormat/>
    <w:pPr>
      <w:spacing w:before="100" w:after="100"/>
      <w:outlineLvl w:val="3"/>
    </w:pPr>
    <w:rPr>
      <w:b/>
      <w:lang w:val="en-GB" w:eastAsia="en-GB"/>
    </w:rPr>
  </w:style>
  <w:style w:type="paragraph" w:styleId="Heading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lang w:val="en-GB" w:eastAsia="en-GB"/>
    </w:rPr>
  </w:style>
  <w:style w:type="paragraph" w:styleId="Heading6">
    <w:name w:val="heading 6"/>
    <w:basedOn w:val="Normal"/>
    <w:next w:val="Normal"/>
    <w:uiPriority w:val="9"/>
    <w:semiHidden/>
    <w:unhideWhenUsed/>
    <w:qFormat/>
    <w:pPr>
      <w:keepNext/>
      <w:keepLines/>
      <w:spacing w:before="200" w:after="40"/>
      <w:outlineLvl w:val="5"/>
    </w:pPr>
    <w:rPr>
      <w:rFonts w:ascii="Cambria" w:eastAsia="Cambria" w:hAnsi="Cambria" w:cs="Cambria"/>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GB" w:eastAsia="en-GB"/>
    </w:rPr>
  </w:style>
  <w:style w:type="character" w:styleId="Hyperlink">
    <w:name w:val="Hyperlink"/>
    <w:basedOn w:val="DefaultParagraphFont"/>
    <w:uiPriority w:val="99"/>
    <w:unhideWhenUsed/>
    <w:rsid w:val="00456B0B"/>
    <w:rPr>
      <w:color w:val="0000FF" w:themeColor="hyperlink"/>
      <w:u w:val="single"/>
    </w:rPr>
  </w:style>
  <w:style w:type="character" w:styleId="FollowedHyperlink">
    <w:name w:val="FollowedHyperlink"/>
    <w:basedOn w:val="DefaultParagraphFont"/>
    <w:uiPriority w:val="99"/>
    <w:semiHidden/>
    <w:unhideWhenUsed/>
    <w:rsid w:val="00456B0B"/>
    <w:rPr>
      <w:color w:val="800080" w:themeColor="followedHyperlink"/>
      <w:u w:val="single"/>
    </w:rPr>
  </w:style>
  <w:style w:type="paragraph" w:styleId="Header">
    <w:name w:val="header"/>
    <w:basedOn w:val="Normal"/>
    <w:link w:val="HeaderChar"/>
    <w:uiPriority w:val="99"/>
    <w:unhideWhenUsed/>
    <w:rsid w:val="007A7813"/>
    <w:pPr>
      <w:tabs>
        <w:tab w:val="center" w:pos="4513"/>
        <w:tab w:val="right" w:pos="9026"/>
      </w:tabs>
    </w:pPr>
    <w:rPr>
      <w:rFonts w:ascii="Cambria" w:eastAsia="Cambria" w:hAnsi="Cambria" w:cs="Cambria"/>
      <w:lang w:val="en-GB" w:eastAsia="en-GB"/>
    </w:rPr>
  </w:style>
  <w:style w:type="character" w:customStyle="1" w:styleId="HeaderChar">
    <w:name w:val="Header Char"/>
    <w:basedOn w:val="DefaultParagraphFont"/>
    <w:link w:val="Header"/>
    <w:uiPriority w:val="99"/>
    <w:rsid w:val="007A7813"/>
  </w:style>
  <w:style w:type="paragraph" w:styleId="Footer">
    <w:name w:val="footer"/>
    <w:basedOn w:val="Normal"/>
    <w:link w:val="FooterChar"/>
    <w:uiPriority w:val="99"/>
    <w:unhideWhenUsed/>
    <w:rsid w:val="007A7813"/>
    <w:pPr>
      <w:tabs>
        <w:tab w:val="center" w:pos="4513"/>
        <w:tab w:val="right" w:pos="9026"/>
      </w:tabs>
    </w:pPr>
    <w:rPr>
      <w:rFonts w:ascii="Cambria" w:eastAsia="Cambria" w:hAnsi="Cambria" w:cs="Cambria"/>
      <w:lang w:val="en-GB" w:eastAsia="en-GB"/>
    </w:rPr>
  </w:style>
  <w:style w:type="character" w:customStyle="1" w:styleId="FooterChar">
    <w:name w:val="Footer Char"/>
    <w:basedOn w:val="DefaultParagraphFont"/>
    <w:link w:val="Footer"/>
    <w:uiPriority w:val="99"/>
    <w:rsid w:val="007A7813"/>
  </w:style>
  <w:style w:type="character" w:customStyle="1" w:styleId="UnresolvedMention1">
    <w:name w:val="Unresolved Mention1"/>
    <w:basedOn w:val="DefaultParagraphFont"/>
    <w:uiPriority w:val="99"/>
    <w:semiHidden/>
    <w:unhideWhenUsed/>
    <w:rsid w:val="007A7813"/>
    <w:rPr>
      <w:color w:val="605E5C"/>
      <w:shd w:val="clear" w:color="auto" w:fill="E1DFDD"/>
    </w:rPr>
  </w:style>
  <w:style w:type="paragraph" w:styleId="ListParagraph">
    <w:name w:val="List Paragraph"/>
    <w:basedOn w:val="Normal"/>
    <w:uiPriority w:val="34"/>
    <w:qFormat/>
    <w:rsid w:val="00136332"/>
    <w:pPr>
      <w:ind w:left="720"/>
      <w:contextualSpacing/>
    </w:pPr>
    <w:rPr>
      <w:rFonts w:ascii="Cambria" w:eastAsia="Cambria" w:hAnsi="Cambria" w:cs="Cambria"/>
      <w:lang w:val="en-GB" w:eastAsia="en-GB"/>
    </w:rPr>
  </w:style>
  <w:style w:type="table" w:styleId="TableGrid">
    <w:name w:val="Table Grid"/>
    <w:basedOn w:val="TableNormal"/>
    <w:uiPriority w:val="39"/>
    <w:rsid w:val="009B1DE0"/>
    <w:rPr>
      <w:rFonts w:asciiTheme="minorHAnsi" w:eastAsiaTheme="minorHAnsi" w:hAnsiTheme="minorHAnsi" w:cstheme="minorBidi"/>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0625"/>
    <w:rPr>
      <w:sz w:val="18"/>
      <w:szCs w:val="18"/>
    </w:rPr>
  </w:style>
  <w:style w:type="character" w:customStyle="1" w:styleId="BalloonTextChar">
    <w:name w:val="Balloon Text Char"/>
    <w:basedOn w:val="DefaultParagraphFont"/>
    <w:link w:val="BalloonText"/>
    <w:uiPriority w:val="99"/>
    <w:semiHidden/>
    <w:rsid w:val="00D40625"/>
    <w:rPr>
      <w:rFonts w:ascii="Times New Roman" w:eastAsia="Times New Roman" w:hAnsi="Times New Roman" w:cs="Times New Roman"/>
      <w:sz w:val="18"/>
      <w:szCs w:val="18"/>
      <w:lang w:val="en-IE" w:eastAsia="en-US"/>
    </w:rPr>
  </w:style>
  <w:style w:type="paragraph" w:styleId="Revision">
    <w:name w:val="Revision"/>
    <w:hidden/>
    <w:uiPriority w:val="99"/>
    <w:semiHidden/>
    <w:rsid w:val="002B2673"/>
    <w:rPr>
      <w:rFonts w:ascii="Times New Roman" w:eastAsia="Times New Roman" w:hAnsi="Times New Roman" w:cs="Times New Roman"/>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167256">
      <w:bodyDiv w:val="1"/>
      <w:marLeft w:val="0"/>
      <w:marRight w:val="0"/>
      <w:marTop w:val="0"/>
      <w:marBottom w:val="0"/>
      <w:divBdr>
        <w:top w:val="none" w:sz="0" w:space="0" w:color="auto"/>
        <w:left w:val="none" w:sz="0" w:space="0" w:color="auto"/>
        <w:bottom w:val="none" w:sz="0" w:space="0" w:color="auto"/>
        <w:right w:val="none" w:sz="0" w:space="0" w:color="auto"/>
      </w:divBdr>
    </w:div>
    <w:div w:id="1751922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d.int/abs/text/" TargetMode="External"/><Relationship Id="rId3" Type="http://schemas.openxmlformats.org/officeDocument/2006/relationships/settings" Target="settings.xml"/><Relationship Id="rId7" Type="http://schemas.openxmlformats.org/officeDocument/2006/relationships/hyperlink" Target="https://cgspace.cgiar.org/handle/10568/962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1219</Words>
  <Characters>6950</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Compton</dc:creator>
  <cp:keywords/>
  <dc:description/>
  <cp:lastModifiedBy>Nelissa Jamora</cp:lastModifiedBy>
  <cp:revision>2</cp:revision>
  <cp:lastPrinted>2019-05-28T07:08:00Z</cp:lastPrinted>
  <dcterms:created xsi:type="dcterms:W3CDTF">2019-09-23T12:06:00Z</dcterms:created>
  <dcterms:modified xsi:type="dcterms:W3CDTF">2019-09-23T12:06:00Z</dcterms:modified>
</cp:coreProperties>
</file>